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rFonts w:ascii="Noto Naskh Arabic" w:hAnsi="Noto Naskh Arabic" w:cs="Noto Naskh Arabic"/>
          <w:b/>
          <w:i w:val="0"/>
          <w:color w:val="1F4E79"/>
          <w:sz w:val="52"/>
        </w:rPr>
        <w:t>فرمول اعتماد</w:t>
      </w:r>
    </w:p>
    <w:p>
      <w:pPr>
        <w:jc w:val="center"/>
      </w:pPr>
      <w:r>
        <w:rPr>
          <w:rFonts w:ascii="Noto Naskh Arabic" w:hAnsi="Noto Naskh Arabic" w:cs="Noto Naskh Arabic"/>
          <w:b/>
          <w:i w:val="0"/>
          <w:sz w:val="34"/>
        </w:rPr>
        <w:t>اتحاد انسانی، حقوق بشر و آشتی ملی به‌عنوان راهبرد گذار به سکولار دموکراسی</w:t>
      </w:r>
    </w:p>
    <w:p>
      <w:pPr>
        <w:spacing w:before="400"/>
        <w:jc w:val="center"/>
      </w:pPr>
      <w:r>
        <w:rPr>
          <w:rFonts w:ascii="Noto Naskh Arabic" w:hAnsi="Noto Naskh Arabic" w:cs="Noto Naskh Arabic"/>
          <w:b w:val="0"/>
          <w:i w:val="0"/>
          <w:sz w:val="26"/>
        </w:rPr>
        <w:t>تحلیل تطبیقی «ائتلاف فراگیر و مشروعیت انتخاباتی» در برابر «اقتدارگرایی حذف‌گرا و سیاست نفرت»</w:t>
      </w:r>
    </w:p>
    <w:p>
      <w:pPr>
        <w:spacing w:before="700"/>
        <w:jc w:val="center"/>
      </w:pPr>
      <w:r>
        <w:rPr>
          <w:rFonts w:ascii="Noto Naskh Arabic" w:hAnsi="Noto Naskh Arabic" w:cs="Noto Naskh Arabic"/>
          <w:b/>
          <w:i w:val="0"/>
          <w:sz w:val="28"/>
        </w:rPr>
        <w:t>دکتر پیمان بخشایش</w:t>
        <w:br/>
        <w:t>جراح تراما، MD, PhD, MBA</w:t>
      </w:r>
    </w:p>
    <w:p>
      <w:pPr>
        <w:spacing w:before="200"/>
        <w:jc w:val="center"/>
      </w:pPr>
      <w:r>
        <w:rPr>
          <w:rFonts w:ascii="Noto Naskh Arabic" w:hAnsi="Noto Naskh Arabic" w:cs="Noto Naskh Arabic"/>
          <w:b w:val="0"/>
          <w:i w:val="0"/>
          <w:sz w:val="24"/>
        </w:rPr>
        <w:t>اوت ۲۰۲۶</w:t>
      </w:r>
    </w:p>
    <w:p>
      <w:r/>
    </w:p>
    <w:p>
      <w:pPr>
        <w:spacing w:before="200" w:after="100"/>
        <w:jc w:val="right"/>
        <w:keepNext/>
        <w:bidi w:val="1"/>
      </w:pPr>
      <w:r>
        <w:rPr>
          <w:rFonts w:ascii="Noto Naskh Arabic" w:hAnsi="Noto Naskh Arabic" w:cs="Noto Naskh Arabic"/>
          <w:b/>
          <w:i w:val="0"/>
          <w:color w:val="1F4E79"/>
          <w:sz w:val="32"/>
        </w:rPr>
        <w:t>چکیده</w:t>
      </w:r>
    </w:p>
    <w:p>
      <w:pPr>
        <w:spacing w:after="100" w:line="276" w:lineRule="auto"/>
        <w:ind w:firstLine="312"/>
        <w:jc w:val="both"/>
        <w:bidi w:val="1"/>
      </w:pPr>
      <w:r>
        <w:rPr>
          <w:rFonts w:ascii="Noto Naskh Arabic" w:hAnsi="Noto Naskh Arabic" w:cs="Noto Naskh Arabic"/>
          <w:b w:val="0"/>
          <w:i w:val="0"/>
          <w:sz w:val="24"/>
        </w:rPr>
        <w:t>این مقاله دو منطق رقیب برای گذار سیاسی ایران را از منظر علوم سیاسی، روان‌شناسی سیاسی و ادبیات گذار دموکراتیک مقایسه می‌کند. منطق نخست بر ایجاد یک ائتلاف فراگیر میان نیروهای سکولار دموکرات، جمهوری‌خواهان، پادشاهی‌خواهان و فعالان حقوق بشر، بر محور حقوق بنیادین، آشتی ملی، عدالت انتقالی و حق انتخاب مردم استوار است. در این چارچوب، رضا پهلوی می‌تواند ــ مشروط به کسب اعتماد سیاسی و پذیرش قواعد محدودکننده قدرت ــ به‌عنوان یکی از چهره‌های محوری دوران گذار، نماد انسجام و تسهیل‌کننده انتقال به انتخابات آزاد مطرح شود. شکل نهایی حکومت، از جمله امکان پادشاهی مشروطه، تنها زمانی مشروعیت دموکراتیک خواهد داشت که در یک فرایند آزاد، رقابتی و قابل نظارت به انتخاب شهروندان برسد. منطق دوم، بر بسیج اقتدارمحور، حذف یا تحقیر مخالفان تاریخی، تقلیل اهمیت حقوق بشر و تصور پیروزی از مسیر قدرت سخت تکیه دارد. استدلال مقاله این است که منطق نخست، از نظر نظری، ظرفیت بیشتری برای گسترش ائتلاف، کاهش هزینه خروج از نظام موجود، کسب اعتبار بین‌المللی و تولید مشروعیت پس از گذار دارد؛ با این حال، هیچ فرمولی موفقیت را تضمین نمی‌کند و نقش یک رهبر انتقالی باید همواره مقید به نهادها، زمان‌بندی روشن و حق مردم برای تغییر یا رد او باشد.</w:t>
      </w:r>
    </w:p>
    <w:p>
      <w:pPr>
        <w:spacing w:after="100" w:line="276" w:lineRule="auto"/>
        <w:jc w:val="both"/>
        <w:bidi w:val="1"/>
      </w:pPr>
      <w:r>
        <w:rPr>
          <w:rFonts w:ascii="Noto Naskh Arabic" w:hAnsi="Noto Naskh Arabic" w:cs="Noto Naskh Arabic"/>
          <w:b/>
          <w:i w:val="0"/>
          <w:sz w:val="22"/>
        </w:rPr>
        <w:t>واژگان کلیدی: گذار دموکراتیک؛ سکولار دموکراسی؛ آشتی ملی؛ حقوق بشر؛ رضا پهلوی؛ پادشاهی مشروطه؛ جمهوری‌خواهی؛ قطبی‌شدن عاطفی؛ مقاومت مدنی؛ عدالت انتقالی.</w:t>
      </w:r>
    </w:p>
    <w:p>
      <w:pPr>
        <w:spacing w:before="200" w:after="100"/>
        <w:jc w:val="right"/>
        <w:keepNext/>
        <w:bidi w:val="1"/>
      </w:pPr>
      <w:r>
        <w:rPr>
          <w:rFonts w:ascii="Noto Naskh Arabic" w:hAnsi="Noto Naskh Arabic" w:cs="Noto Naskh Arabic"/>
          <w:b/>
          <w:i w:val="0"/>
          <w:color w:val="1F4E79"/>
          <w:sz w:val="32"/>
        </w:rPr>
        <w:t>۱. مقدمه: مسئله فقط «پیروزی» نیست، بلکه «نوع پیروزی» است</w:t>
      </w:r>
    </w:p>
    <w:p>
      <w:pPr>
        <w:spacing w:after="100" w:line="276" w:lineRule="auto"/>
        <w:ind w:firstLine="312"/>
        <w:jc w:val="both"/>
        <w:bidi w:val="1"/>
      </w:pPr>
      <w:r>
        <w:rPr>
          <w:rFonts w:ascii="Noto Naskh Arabic" w:hAnsi="Noto Naskh Arabic" w:cs="Noto Naskh Arabic"/>
          <w:b w:val="0"/>
          <w:i w:val="0"/>
          <w:sz w:val="24"/>
        </w:rPr>
        <w:t>در گذار از یک نظام اقتدارگرا، پرسش اصلی صرفاً این نیست که چه نیرویی توانایی برهم‌زدن نظم موجود را دارد؛ پرسش مهم‌تر این است که چه نوع ائتلاف و چه نوع زبان سیاسی می‌تواند همزمان سه کار را انجام دهد: نخست، مشارکت اجتماعی را گسترش دهد؛ دوم، شکاف میان مخالفان را کاهش دهد؛ و سوم، قواعدی ایجاد کند که پس از انتقال قدرت از بازتولید اقتدارگرایی جلوگیری کنند. ادبیات کلاسیک گذار دموکراتیک بر همین نکته تأکید دارد: دموکراسی زمانی تثبیت می‌شود که بازیگران رقیب نه فقط بر سر کنارزدن رژیم پیشین، بلکه بر سر قواعد بازی، حقوق مخالفان و پذیرش عدم‌قطعیت انتخابات به توافق برسند (O’Donnell &amp; Schmitter, 1986; Przeworski, 1991; Linz &amp; Stepan, 1996).</w:t>
      </w:r>
    </w:p>
    <w:p>
      <w:pPr>
        <w:spacing w:after="100" w:line="276" w:lineRule="auto"/>
        <w:ind w:firstLine="312"/>
        <w:jc w:val="both"/>
        <w:bidi w:val="1"/>
      </w:pPr>
      <w:r>
        <w:rPr>
          <w:rFonts w:ascii="Noto Naskh Arabic" w:hAnsi="Noto Naskh Arabic" w:cs="Noto Naskh Arabic"/>
          <w:b w:val="0"/>
          <w:i w:val="0"/>
          <w:sz w:val="24"/>
        </w:rPr>
        <w:t>بر این مبنا، می‌توان دو «فرمول» را به‌صورت تیپ آرمانی از یکدیگر جدا کرد. فرمول نخست را در این مقاله «فرمول اعتماد» می‌نامیم: حقوق بشر، آشتی ملی، اتحاد فراگیر، کاهش درد و ترس متقابل، و انتقال اختلافات تاریخی از خیابان و انتقام به صندوق رأی. فرمول دوم را می‌توان «فرمول اقتدار حذف‌گرا» نامید: بسیج از طریق خشم، اولویت‌دادن به قدرت سخت، کم‌اهمیت‌کردن حقوق مخالفان، و تعریف هویت سیاسی از راه دشمن‌سازی. این دو تیپ در واقعیت خالص نیستند و بسیاری از کنشگران میان آن‌ها قرار می‌گیرند؛ اما تفکیک تحلیلی آن‌ها برای فهم پیامدهای راهبردی مفید است.</w:t>
      </w:r>
    </w:p>
    <w:p>
      <w:pPr>
        <w:spacing w:before="200" w:after="100"/>
        <w:jc w:val="right"/>
        <w:keepNext/>
        <w:bidi w:val="1"/>
      </w:pPr>
      <w:r>
        <w:rPr>
          <w:rFonts w:ascii="Noto Naskh Arabic" w:hAnsi="Noto Naskh Arabic" w:cs="Noto Naskh Arabic"/>
          <w:b/>
          <w:i w:val="0"/>
          <w:color w:val="1F4E79"/>
          <w:sz w:val="32"/>
        </w:rPr>
        <w:t>۲. فرمول اعتماد: از مشروعیت اخلاقی تا مشروعیت انتخاباتی</w:t>
      </w:r>
    </w:p>
    <w:p>
      <w:pPr>
        <w:spacing w:after="100" w:line="276" w:lineRule="auto"/>
        <w:ind w:firstLine="312"/>
        <w:jc w:val="both"/>
        <w:bidi w:val="1"/>
      </w:pPr>
      <w:r>
        <w:rPr>
          <w:rFonts w:ascii="Noto Naskh Arabic" w:hAnsi="Noto Naskh Arabic" w:cs="Noto Naskh Arabic"/>
          <w:b w:val="0"/>
          <w:i w:val="0"/>
          <w:sz w:val="24"/>
        </w:rPr>
        <w:t>در فرمول اعتماد، رهبری دوران گذار نه «مالک آینده» بلکه «ضامن قواعد رسیدن به آینده» تلقی می‌شود. چنین رهبری باید بتواند به جمهوری‌خواه اطمینان دهد که بازگشت یک نام تاریخی به معنای بازگشت اقتدارگرایی نیست؛ به پادشاهی‌خواه اطمینان دهد که هویت تاریخی او حق حضور در رقابت سیاسی دارد؛ به اقلیت‌های قومی و مذهبی تضمین برابری شهروندی بدهد؛ و به نیروهای اداری، نظامی و امنیتی که مرتکب جرم نشده‌اند پیام دهد که گذار به معنای انتقام جمعی نیست. در این مدل، «قدرت» از اعتماد گسترده و ائتلاف اجتماعی تولید می‌شود و سپس «اقتدار» از طریق قانون و نهادها به دست می‌آید، نه برعکس.</w:t>
      </w:r>
    </w:p>
    <w:p>
      <w:pPr>
        <w:spacing w:after="100" w:line="276" w:lineRule="auto"/>
        <w:ind w:firstLine="312"/>
        <w:jc w:val="both"/>
        <w:bidi w:val="1"/>
      </w:pPr>
      <w:r>
        <w:rPr>
          <w:rFonts w:ascii="Noto Naskh Arabic" w:hAnsi="Noto Naskh Arabic" w:cs="Noto Naskh Arabic"/>
          <w:b w:val="0"/>
          <w:i w:val="0"/>
          <w:sz w:val="24"/>
        </w:rPr>
        <w:t>این منطق با نظریه‌های گذار سازگار است: توافق بر حداقل قواعد، هزینه حذف متقابل را بالا می‌برد و برای بازیگرانی که از نتیجه انتخابات مطمئن نیستند، پذیرش دموکراسی را عقلانی‌تر می‌کند. دموکراسی دقیقاً زمانی معنا پیدا می‌کند که هیچ طرفی نتیجه نهایی را از پیش تضمین‌شده نداند، اما همه بدانند که در صورت شکست انتخاباتی نیز حق حیات سیاسی خواهند داشت (Przeworski, 1991).</w:t>
      </w:r>
    </w:p>
    <w:p>
      <w:pPr>
        <w:spacing w:before="200" w:after="100"/>
        <w:jc w:val="right"/>
        <w:keepNext/>
        <w:bidi w:val="1"/>
      </w:pPr>
      <w:r>
        <w:rPr>
          <w:rFonts w:ascii="Noto Naskh Arabic" w:hAnsi="Noto Naskh Arabic" w:cs="Noto Naskh Arabic"/>
          <w:b/>
          <w:i w:val="0"/>
          <w:color w:val="1F4E79"/>
          <w:sz w:val="32"/>
        </w:rPr>
        <w:t>۳. عشق، همبستگی و مرز علمی مفهوم «نفرت»</w:t>
      </w:r>
    </w:p>
    <w:p>
      <w:pPr>
        <w:spacing w:after="100" w:line="276" w:lineRule="auto"/>
        <w:ind w:firstLine="312"/>
        <w:jc w:val="both"/>
        <w:bidi w:val="1"/>
      </w:pPr>
      <w:r>
        <w:rPr>
          <w:rFonts w:ascii="Noto Naskh Arabic" w:hAnsi="Noto Naskh Arabic" w:cs="Noto Naskh Arabic"/>
          <w:b w:val="0"/>
          <w:i w:val="0"/>
          <w:sz w:val="24"/>
        </w:rPr>
        <w:t>تقابل «عشق و نفرت» از نظر بلاغی قدرتمند است، اما برای تبدیل آن به استدلال علمی باید دقیق‌تر سخن گفت. روان‌شناسی اجتماعی نشان می‌دهد که محبت به گروه خود لزوماً به نفرت از گروه دیگر منتهی نمی‌شود. Brewer (1999) نشان می‌دهد که «درون‌گروه‌دوستی» و «برون‌گروه‌ستیزی» دو پدیده کاملاً هم‌معنا نیستند. بنابراین مسئله مطلوب، حذف هویت پادشاهی‌خواه، جمهوری‌خواه، چپ، لیبرال یا ملی‌گرا نیست؛ مسئله ساختن یک هویت سیاسی فراگیرتر است که این هویت‌های فرعی بتوانند درون آن رقابت کنند.</w:t>
      </w:r>
    </w:p>
    <w:p>
      <w:pPr>
        <w:spacing w:after="100" w:line="276" w:lineRule="auto"/>
        <w:ind w:firstLine="312"/>
        <w:jc w:val="both"/>
        <w:bidi w:val="1"/>
      </w:pPr>
      <w:r>
        <w:rPr>
          <w:rFonts w:ascii="Noto Naskh Arabic" w:hAnsi="Noto Naskh Arabic" w:cs="Noto Naskh Arabic"/>
          <w:b w:val="0"/>
          <w:i w:val="0"/>
          <w:sz w:val="24"/>
        </w:rPr>
        <w:t>در نقطه مقابل، «قطبی‌شدن عاطفی» زمانی رخ می‌دهد که رقیب سیاسی نه صرفاً اشتباه، بلکه نامشروع، خطرناک و از نظر اخلاقی ناپذیرفتنی تصور شود. پژوهش‌های Iyengar و همکاران نشان داده‌اند که چنین قطبی‌شدنی می‌تواند اعتماد میان‌گروهی را فرسوده و سیاست را به رقابت هویتی تبدیل کند (Iyengar et al., 2019). Svolik (2019) نیز نشان می‌دهد که در محیط‌های شدیداً قطبی، شهروندان ممکن است برای پیروزی اردوگاه خود، از اصول دموکراتیک چشم‌پوشی کنند. از این رو، ادبیاتی که همه «پنجاه‌وهفتی‌ها»، جمهوری‌خواهان، چپ‌ها یا مخالفان پادشاهی را به یک بلوک دشمن تبدیل کند، از منظر راهبردی ممکن است دقیقاً همان منطق صفر و یکی را بازتولید کند که دموکراسی آینده باید از آن عبور کند.</w:t>
      </w:r>
    </w:p>
    <w:p>
      <w:pPr>
        <w:spacing w:before="200" w:after="100"/>
        <w:jc w:val="right"/>
        <w:keepNext/>
        <w:bidi w:val="1"/>
      </w:pPr>
      <w:r>
        <w:rPr>
          <w:rFonts w:ascii="Noto Naskh Arabic" w:hAnsi="Noto Naskh Arabic" w:cs="Noto Naskh Arabic"/>
          <w:b/>
          <w:i w:val="0"/>
          <w:color w:val="1F4E79"/>
          <w:sz w:val="32"/>
        </w:rPr>
        <w:t>۴. چرا ائتلاف فراگیر می‌تواند از نظر راهبردی قوی‌تر باشد؟</w:t>
      </w:r>
    </w:p>
    <w:p>
      <w:pPr>
        <w:spacing w:after="100" w:line="276" w:lineRule="auto"/>
        <w:ind w:firstLine="312"/>
        <w:jc w:val="both"/>
        <w:bidi w:val="1"/>
      </w:pPr>
      <w:r>
        <w:rPr>
          <w:rFonts w:ascii="Noto Naskh Arabic" w:hAnsi="Noto Naskh Arabic" w:cs="Noto Naskh Arabic"/>
          <w:b w:val="0"/>
          <w:i w:val="0"/>
          <w:sz w:val="24"/>
        </w:rPr>
        <w:t>ادبیات مقاومت مدنی یک دلیل عملی برای ترجیح ائتلاف فراگیر ارائه می‌کند. Chenoweth و Stephan نشان می‌دهند که جنبش‌های غیرخشونت‌آمیز به دلیل موانع کمتر برای مشارکت، می‌توانند دامنه وسیع‌تری از شهروندان را وارد کنش سیاسی کنند؛ مشارکت وسیع‌تر نیز ظرفیت تاب‌آوری، نوآوری تاکتیکی، اختلال مدنی و ریزش وفاداری از درون ساختار قدرت را افزایش می‌دهد (Chenoweth &amp; Stephan, 2011). این یافته به معنای تضمین پیروزی در ایران یا انکار پیچیدگی شرایط ایران نیست؛ بلکه یک اصل راهبردی را تقویت می‌کند: هرچه ورود به ائتلاف کم‌هزینه‌تر و امن‌تر باشد، بالقوه جمعیت بیشتری می‌تواند به آن بپیوندد.</w:t>
      </w:r>
    </w:p>
    <w:p>
      <w:pPr>
        <w:spacing w:after="100" w:line="276" w:lineRule="auto"/>
        <w:ind w:firstLine="312"/>
        <w:jc w:val="both"/>
        <w:bidi w:val="1"/>
      </w:pPr>
      <w:r>
        <w:rPr>
          <w:rFonts w:ascii="Noto Naskh Arabic" w:hAnsi="Noto Naskh Arabic" w:cs="Noto Naskh Arabic"/>
          <w:b w:val="0"/>
          <w:i w:val="0"/>
          <w:sz w:val="24"/>
        </w:rPr>
        <w:t>زبان حقوق بشر در اینجا فقط اخلاق نیست؛ یک ابزار کاهش ریسک سیاسی است. وقتی یک جمهوری‌خواه بداند که در صورت پیروزی پادشاهی‌خواهان حذف نمی‌شود، یا یک کارمند دولت بداند که صرف اشتغال در دستگاه اداری به مجازات جمعی منجر نخواهد شد، هزینه روانی و مادی پیوستن یا بی‌طرف‌شدن کاهش می‌یابد. برعکس، هرچه آینده به‌صورت «پیروزی یک اردوگاه و تسویه‌حساب با اردوگاه‌های دیگر» تصویر شود، بازیگران بیشتری انگیزه پیدا می‌کنند تا حتی در برابر نظامی که از آن ناراضی‌اند، از ترس آینده به وضع موجود بچسبند.</w:t>
      </w:r>
    </w:p>
    <w:p>
      <w:pPr>
        <w:spacing w:before="200" w:after="100"/>
        <w:jc w:val="right"/>
        <w:keepNext/>
        <w:bidi w:val="1"/>
      </w:pPr>
      <w:r>
        <w:rPr>
          <w:rFonts w:ascii="Noto Naskh Arabic" w:hAnsi="Noto Naskh Arabic" w:cs="Noto Naskh Arabic"/>
          <w:b/>
          <w:i w:val="0"/>
          <w:color w:val="1F4E79"/>
          <w:sz w:val="32"/>
        </w:rPr>
        <w:t>۵. فرمول اقتدار حذف‌گرا: مزیت کوتاه‌مدت، هزینه بلندمدت</w:t>
      </w:r>
    </w:p>
    <w:p>
      <w:pPr>
        <w:spacing w:after="100" w:line="276" w:lineRule="auto"/>
        <w:ind w:firstLine="312"/>
        <w:jc w:val="both"/>
        <w:bidi w:val="1"/>
      </w:pPr>
      <w:r>
        <w:rPr>
          <w:rFonts w:ascii="Noto Naskh Arabic" w:hAnsi="Noto Naskh Arabic" w:cs="Noto Naskh Arabic"/>
          <w:b w:val="0"/>
          <w:i w:val="0"/>
          <w:sz w:val="24"/>
        </w:rPr>
        <w:t>فرمول اقتدارمحور جذابیت‌های قابل فهمی دارد. جامعه‌ای که دهه‌ها با ناامنی، سرکوب، تحریم، جنگ و ضعف حکمرانی مواجه بوده است ممکن است نظم، ارتش قدرتمند، تصمیم‌گیری سریع و بازسازی اقتدار دولت را ضروری بداند. علم سیاست نیز دولت کارآمد را شرط دموکراسی پایدار می‌داند. اما مشکل از جایی آغاز می‌شود که «دولت قوی» با «قدرت بدون مهار» یکسان فرض شود. اگر حقوق بشر، دادگاه مستقل، آزادی مخالف و محدودیت زمانی قدرت به بعد از پیروزی موکول شوند، هیچ تضمین نهادی وجود ندارد که واقعاً در مرحله بعد بازگردند (Linz, 2000; Levitsky &amp; Ziblatt, 2018).</w:t>
      </w:r>
    </w:p>
    <w:p>
      <w:pPr>
        <w:spacing w:after="100" w:line="276" w:lineRule="auto"/>
        <w:ind w:firstLine="312"/>
        <w:jc w:val="both"/>
        <w:bidi w:val="1"/>
      </w:pPr>
      <w:r>
        <w:rPr>
          <w:rFonts w:ascii="Noto Naskh Arabic" w:hAnsi="Noto Naskh Arabic" w:cs="Noto Naskh Arabic"/>
          <w:b w:val="0"/>
          <w:i w:val="0"/>
          <w:sz w:val="24"/>
        </w:rPr>
        <w:t>از نظر ارتباطات سیاسی بین‌المللی نیز یک جنبش که در رسانه‌های خارجی با زبان انتقام، تحقیر گروه‌های رقیب یا بی‌اعتنایی به حقوق بشر شناخته شود، ممکن است با «ریسک اقتدارگرایی پس از گذار» شناخته شود. این نه صرفاً مسئله تصویرسازی خارجی، بلکه مسئله اعتبار تعهد است: دولت‌ها، سازمان‌های مدنی و افکار عمومی بین‌المللی می‌پرسند آیا نیرویی که امروز حقوق مخالف خود را به رسمیت نمی‌شناسد، فردا پس از دستیابی به ابزارهای دولت چنین خواهد کرد یا نه. این ریسک می‌تواند توان ائتلاف‌سازی خارجی و داخلی را کاهش دهد. با این حال، این یک رابطه احتمالی است، نه قانون قطعی؛ اعتبار یک جنبش به رفتار واقعی، سازمان‌دهی، برنامه حقوقی و توان کنترل هوادارانش بستگی دارد.</w:t>
      </w:r>
    </w:p>
    <w:p>
      <w:pPr>
        <w:spacing w:before="200" w:after="100"/>
        <w:jc w:val="right"/>
        <w:keepNext/>
        <w:bidi w:val="1"/>
      </w:pPr>
      <w:r>
        <w:rPr>
          <w:rFonts w:ascii="Noto Naskh Arabic" w:hAnsi="Noto Naskh Arabic" w:cs="Noto Naskh Arabic"/>
          <w:b/>
          <w:i w:val="0"/>
          <w:color w:val="1F4E79"/>
          <w:sz w:val="32"/>
        </w:rPr>
        <w:t>۶. رضا پهلوی و امکان «رهبری گذار»؛ نقش پیشنهادی، نه مشروعیت از پیش اعطا‌شده</w:t>
      </w:r>
    </w:p>
    <w:p>
      <w:pPr>
        <w:spacing w:after="100" w:line="276" w:lineRule="auto"/>
        <w:ind w:firstLine="312"/>
        <w:jc w:val="both"/>
        <w:bidi w:val="1"/>
      </w:pPr>
      <w:r>
        <w:rPr>
          <w:rFonts w:ascii="Noto Naskh Arabic" w:hAnsi="Noto Naskh Arabic" w:cs="Noto Naskh Arabic"/>
          <w:b w:val="0"/>
          <w:i w:val="0"/>
          <w:sz w:val="24"/>
        </w:rPr>
        <w:t>در سال ۲۰۲۶، مواد رسمی منتشرشده از سوی رضا پهلوی بر گذار به حکومتی ملی، سکولار و دموکراتیک، برابری حقوقی، جدایی دین و دولت، آزادی‌های فردی و حق مردم برای انتخاب شکل آینده حکومت تأکید کرده‌اند. در سخنرانی او در کمیته امور خارجی پارلمان هلند نیز چهار اصل شامل تمامیت ارضی، حقوق و آزادی‌های برابر، جدایی دین و دولت و حق مردم برای انتخاب شکل حکومت مطرح شده است (Pahlavi, 2026a, 2026b). همین چارچوب نظری امکان آن را فراهم می‌کند که نقش او نه به‌عنوان «پادشاه از پیش تعیین‌شده»، بلکه به‌عنوان مدعی رهبری یک دوره محدود انتقالی ارزیابی شود.</w:t>
      </w:r>
    </w:p>
    <w:p>
      <w:pPr>
        <w:spacing w:after="100" w:line="276" w:lineRule="auto"/>
        <w:ind w:firstLine="312"/>
        <w:jc w:val="both"/>
        <w:bidi w:val="1"/>
      </w:pPr>
      <w:r>
        <w:rPr>
          <w:rFonts w:ascii="Noto Naskh Arabic" w:hAnsi="Noto Naskh Arabic" w:cs="Noto Naskh Arabic"/>
          <w:b w:val="0"/>
          <w:i w:val="0"/>
          <w:sz w:val="24"/>
        </w:rPr>
        <w:t>در عین حال، تحلیل علمی باید محدودیت را نیز صریح بیان کند. رسانه‌ها و تحلیلگران در سال ۲۰۲۶ همچنان درباره میزان سازمان‌یافتگی پایگاه او در داخل ایران، شکاف‌های اپوزیسیون و توان او برای تبدیل محبوبیت نمادین به ائتلاف پایدار پرسش مطرح کرده‌اند. گزارش‌های رویترز و واشنگتن‌پست نمونه‌ای از این تردیدها هستند. بنابراین معرفی او به‌عنوان «رهبر آشتی ملی» یا «رهبر انسجام ملی» یک گزاره توصیفی تثبیت‌شده نیست؛ بلکه یک پروژه سیاسی است که تنها با رفتار فراگیر، کنترل زبانحذف‌گرا در میان هواداران، پذیرش منتقدان و تعهد قابل سنجش به قواعد انتقال می‌تواند اعتبار پیدا کند (Reuters, 2026; Torbati, 2026).</w:t>
      </w:r>
    </w:p>
    <w:p>
      <w:pPr>
        <w:spacing w:before="200" w:after="100"/>
        <w:jc w:val="right"/>
        <w:keepNext/>
        <w:bidi w:val="1"/>
      </w:pPr>
      <w:r>
        <w:rPr>
          <w:rFonts w:ascii="Noto Naskh Arabic" w:hAnsi="Noto Naskh Arabic" w:cs="Noto Naskh Arabic"/>
          <w:b/>
          <w:i w:val="0"/>
          <w:color w:val="1F4E79"/>
          <w:sz w:val="32"/>
        </w:rPr>
        <w:t>۷. «رهبر کاهش درد ملی»: از استعاره پزشکی تا سیاست آشتی</w:t>
      </w:r>
    </w:p>
    <w:p>
      <w:pPr>
        <w:spacing w:after="100" w:line="276" w:lineRule="auto"/>
        <w:ind w:firstLine="312"/>
        <w:jc w:val="both"/>
        <w:bidi w:val="1"/>
      </w:pPr>
      <w:r>
        <w:rPr>
          <w:rFonts w:ascii="Noto Naskh Arabic" w:hAnsi="Noto Naskh Arabic" w:cs="Noto Naskh Arabic"/>
          <w:b w:val="0"/>
          <w:i w:val="0"/>
          <w:sz w:val="24"/>
        </w:rPr>
        <w:t>تعبیر «کاهش درد ملی» را می‌توان به‌صورت علمی‌تر با مفاهیم آشتی، ترمیم اجتماعی و عدالت انتقالی بازسازی کرد. جوامع پس از سرکوب گسترده فقط با تغییر قانون اساسی درمان نمی‌شوند؛ خاطره اعدام، شکنجه، تبعید، جنگ، حذف سیاسی و بی‌اعتمادی میان گروه‌ها می‌تواند دهه‌ها باقی بماند. Lederach (1997) آشتی پایدار را فرایندی می‌داند که نیازمند ساختن روابط، نهادهای گفت‌وگو و ظرفیت‌های چندسطحی در جامعه است. Gibson (2004) نیز در مطالعه آفریقای جنوبی نشان داد که پذیرش حقیقت گذشته و تماس میان گروه‌ها می‌تواند با نگرش‌های آشتی‌جویانه‌تر همراه باشد.</w:t>
      </w:r>
    </w:p>
    <w:p>
      <w:pPr>
        <w:spacing w:after="100" w:line="276" w:lineRule="auto"/>
        <w:ind w:firstLine="312"/>
        <w:jc w:val="both"/>
        <w:bidi w:val="1"/>
      </w:pPr>
      <w:r>
        <w:rPr>
          <w:rFonts w:ascii="Noto Naskh Arabic" w:hAnsi="Noto Naskh Arabic" w:cs="Noto Naskh Arabic"/>
          <w:b w:val="0"/>
          <w:i w:val="0"/>
          <w:sz w:val="24"/>
        </w:rPr>
        <w:t>از این منظر، «آشتی ملی» به معنای فراموشی جرائم نیست. فرمول اعتماد باید دو اصل را همزمان نگه دارد: نخست، حقیقت‌یابی و پاسخگویی فردی برای جرائم سنگین؛ دوم، رد مسئولیت جمعی و مجازات مبتنی بر هویت سیاسی، شغلی یا خانوادگی. عدالت انتقالی زمانی می‌تواند به ثبات کمک کند که دادگاه عادلانه، مستندسازی حقیقت، جبران خسارت قربانیان و اصلاح نهادهای سرکوبگر را با منع انتقام جمعی ترکیب کند (Teitel, 2000; Sikkink, 2011).</w:t>
      </w:r>
    </w:p>
    <w:p>
      <w:pPr>
        <w:spacing w:before="200" w:after="100"/>
        <w:jc w:val="right"/>
        <w:keepNext/>
        <w:bidi w:val="1"/>
      </w:pPr>
      <w:r>
        <w:rPr>
          <w:rFonts w:ascii="Noto Naskh Arabic" w:hAnsi="Noto Naskh Arabic" w:cs="Noto Naskh Arabic"/>
          <w:b/>
          <w:i w:val="0"/>
          <w:color w:val="1F4E79"/>
          <w:sz w:val="32"/>
        </w:rPr>
        <w:t>۸. از رهبری گذار تا صندوق رأی: مسیر دموکراتیک پادشاهی مشروطه</w:t>
      </w:r>
    </w:p>
    <w:p>
      <w:pPr>
        <w:spacing w:after="100" w:line="276" w:lineRule="auto"/>
        <w:ind w:firstLine="312"/>
        <w:jc w:val="both"/>
        <w:bidi w:val="1"/>
      </w:pPr>
      <w:r>
        <w:rPr>
          <w:rFonts w:ascii="Noto Naskh Arabic" w:hAnsi="Noto Naskh Arabic" w:cs="Noto Naskh Arabic"/>
          <w:b w:val="0"/>
          <w:i w:val="0"/>
          <w:sz w:val="24"/>
        </w:rPr>
        <w:t>اگر هدف بخشی از نیروهای سیاسی نهایتاً پادشاهی مشروطه باشد، راهی که با منطق دموکراسی سازگارتر است این است که این ترجیح از نتیجه گذار جدا شود. به بیان دیگر، رهبری یک دوره انتقالی نباید خودبه‌خود نتیجه بحث «جمهوری یا پادشاهی» را تعیین کند. مشروعیت پادشاهی مشروطه ــ همانند مشروعیت جمهوری ــ باید از یک فرایند قانون اساسی آزاد، رقابتی و قابل نظارت ناشی شود. این تفکیک یک مزیت راهبردی دارد: جمهوری‌خواه می‌تواند برای گذار با یک رهبر پادشاهی‌خواه همکاری کند بدون آنکه مجبور شود از باور نهایی خود دست بکشد؛ و پادشاهی‌خواه نیز می‌تواند اعتماد کند که گزینه مطلوب او در صندوق رأی حذف نخواهد شد.</w:t>
      </w:r>
    </w:p>
    <w:p>
      <w:pPr>
        <w:spacing w:after="100" w:line="276" w:lineRule="auto"/>
        <w:ind w:firstLine="312"/>
        <w:jc w:val="both"/>
        <w:bidi w:val="1"/>
      </w:pPr>
      <w:r>
        <w:rPr>
          <w:rFonts w:ascii="Noto Naskh Arabic" w:hAnsi="Noto Naskh Arabic" w:cs="Noto Naskh Arabic"/>
          <w:b w:val="0"/>
          <w:i w:val="0"/>
          <w:sz w:val="24"/>
        </w:rPr>
        <w:t>در چنین مدلی، اگر شهروندان در یک همه‌پرسی یا فرایند مؤسسان آزاد، پادشاهی مشروطه و رضا پهلوی را برگزینند، آن انتخاب واجد مشروعیت انتخاباتی خواهد بود. اگر گزینه دیگری را برگزینند، تعهد به دموکراسی دقیقاً در پذیرش همان نتیجه معنا پیدا می‌کند. این نقطه، تفاوت بنیادی میان «پادشاهی به‌عنوان حق تاریخی» و «پادشاهی مشروطه به‌عنوان گزینه‌ای انتخاباتی» است.</w:t>
      </w:r>
    </w:p>
    <w:p>
      <w:pPr>
        <w:spacing w:before="200" w:after="100"/>
        <w:jc w:val="right"/>
        <w:keepNext/>
        <w:bidi w:val="1"/>
      </w:pPr>
      <w:r>
        <w:rPr>
          <w:rFonts w:ascii="Noto Naskh Arabic" w:hAnsi="Noto Naskh Arabic" w:cs="Noto Naskh Arabic"/>
          <w:b/>
          <w:i w:val="0"/>
          <w:color w:val="1F4E79"/>
          <w:sz w:val="32"/>
        </w:rPr>
        <w:t>۹. مدل علّی پیشنهادی: چگونه «حقوق بشر» می‌تواند به «اقتدار» تبدیل شود؟</w:t>
      </w:r>
    </w:p>
    <w:p>
      <w:pPr>
        <w:spacing w:after="100" w:line="276" w:lineRule="auto"/>
        <w:ind w:firstLine="312"/>
        <w:jc w:val="both"/>
        <w:bidi w:val="1"/>
      </w:pPr>
      <w:r>
        <w:rPr>
          <w:rFonts w:ascii="Noto Naskh Arabic" w:hAnsi="Noto Naskh Arabic" w:cs="Noto Naskh Arabic"/>
          <w:b w:val="0"/>
          <w:i w:val="0"/>
          <w:sz w:val="24"/>
        </w:rPr>
        <w:t>استدلال مرکزی مقاله را می‌توان در یک زنجیره علّی فرضی خلاصه کرد. این زنجیره یک مدل تحلیلی است و نیازمند آزمون تجربی در مورد ایران است، اما اجزای آن با ادبیات گذار و مقاومت مدنی سازگارند:</w:t>
      </w:r>
    </w:p>
    <w:p>
      <w:pPr>
        <w:spacing w:after="60"/>
        <w:ind w:left="170" w:right="227"/>
        <w:jc w:val="both"/>
        <w:bidi w:val="1"/>
      </w:pPr>
      <w:r>
        <w:rPr>
          <w:rFonts w:ascii="Noto Naskh Arabic" w:hAnsi="Noto Naskh Arabic" w:cs="Noto Naskh Arabic"/>
          <w:b w:val="0"/>
          <w:i w:val="0"/>
          <w:sz w:val="23"/>
        </w:rPr>
        <w:t>• تعهد روشن به حقوق بشر و عدم انتقام جمعی ⟶ کاهش ترس گروه‌های رقیب از آینده؛</w:t>
      </w:r>
    </w:p>
    <w:p>
      <w:pPr>
        <w:spacing w:after="60"/>
        <w:ind w:left="170" w:right="227"/>
        <w:jc w:val="both"/>
        <w:bidi w:val="1"/>
      </w:pPr>
      <w:r>
        <w:rPr>
          <w:rFonts w:ascii="Noto Naskh Arabic" w:hAnsi="Noto Naskh Arabic" w:cs="Noto Naskh Arabic"/>
          <w:b w:val="0"/>
          <w:i w:val="0"/>
          <w:sz w:val="23"/>
        </w:rPr>
        <w:t>• کاهش ترس ⟶ افزایش امکان همکاری جمهوری‌خواهان، پادشاهی‌خواهان، نیروهای مدنی و بدنه غیرجنایتکار دولت؛</w:t>
      </w:r>
    </w:p>
    <w:p>
      <w:pPr>
        <w:spacing w:after="60"/>
        <w:ind w:left="170" w:right="227"/>
        <w:jc w:val="both"/>
        <w:bidi w:val="1"/>
      </w:pPr>
      <w:r>
        <w:rPr>
          <w:rFonts w:ascii="Noto Naskh Arabic" w:hAnsi="Noto Naskh Arabic" w:cs="Noto Naskh Arabic"/>
          <w:b w:val="0"/>
          <w:i w:val="0"/>
          <w:sz w:val="23"/>
        </w:rPr>
        <w:t>• ائتلاف گسترده‌تر ⟶ افزایش مشارکت و کاهش هزینه ریزش از ساختار قدرت؛</w:t>
      </w:r>
    </w:p>
    <w:p>
      <w:pPr>
        <w:spacing w:after="60"/>
        <w:ind w:left="170" w:right="227"/>
        <w:jc w:val="both"/>
        <w:bidi w:val="1"/>
      </w:pPr>
      <w:r>
        <w:rPr>
          <w:rFonts w:ascii="Noto Naskh Arabic" w:hAnsi="Noto Naskh Arabic" w:cs="Noto Naskh Arabic"/>
          <w:b w:val="0"/>
          <w:i w:val="0"/>
          <w:sz w:val="23"/>
        </w:rPr>
        <w:t>• مشارکت و ریزش بیشتر ⟶ افزایش ظرفیت عملی برای انتقال سیاسی؛</w:t>
      </w:r>
    </w:p>
    <w:p>
      <w:pPr>
        <w:spacing w:after="60"/>
        <w:ind w:left="170" w:right="227"/>
        <w:jc w:val="both"/>
        <w:bidi w:val="1"/>
      </w:pPr>
      <w:r>
        <w:rPr>
          <w:rFonts w:ascii="Noto Naskh Arabic" w:hAnsi="Noto Naskh Arabic" w:cs="Noto Naskh Arabic"/>
          <w:b w:val="0"/>
          <w:i w:val="0"/>
          <w:sz w:val="23"/>
        </w:rPr>
        <w:t>• انتقال محدود و قانونمند ⟶ امکان انتخابات آزاد و فرایند مؤسسان؛</w:t>
      </w:r>
    </w:p>
    <w:p>
      <w:pPr>
        <w:spacing w:after="60"/>
        <w:ind w:left="170" w:right="227"/>
        <w:jc w:val="both"/>
        <w:bidi w:val="1"/>
      </w:pPr>
      <w:r>
        <w:rPr>
          <w:rFonts w:ascii="Noto Naskh Arabic" w:hAnsi="Noto Naskh Arabic" w:cs="Noto Naskh Arabic"/>
          <w:b w:val="0"/>
          <w:i w:val="0"/>
          <w:sz w:val="23"/>
        </w:rPr>
        <w:t>• انتخابات آزاد ⟶ تبدیل سرمایه نمادین یک رهبر به مشروعیت انتخاباتی یا، در صورت شکست، انتقال مسالمت‌آمیز نقش او؛</w:t>
      </w:r>
    </w:p>
    <w:p>
      <w:pPr>
        <w:spacing w:after="60"/>
        <w:ind w:left="170" w:right="227"/>
        <w:jc w:val="both"/>
        <w:bidi w:val="1"/>
      </w:pPr>
      <w:r>
        <w:rPr>
          <w:rFonts w:ascii="Noto Naskh Arabic" w:hAnsi="Noto Naskh Arabic" w:cs="Noto Naskh Arabic"/>
          <w:b w:val="0"/>
          <w:i w:val="0"/>
          <w:sz w:val="23"/>
        </w:rPr>
        <w:t>• مشروعیت انتخاباتی + نهادهای محدودکننده قدرت ⟶ اقتدار پایدارتر از اقتدار متکی صرف بر زور.</w:t>
      </w:r>
    </w:p>
    <w:p>
      <w:pPr>
        <w:spacing w:before="200" w:after="100"/>
        <w:jc w:val="right"/>
        <w:keepNext/>
        <w:bidi w:val="1"/>
      </w:pPr>
      <w:r>
        <w:rPr>
          <w:rFonts w:ascii="Noto Naskh Arabic" w:hAnsi="Noto Naskh Arabic" w:cs="Noto Naskh Arabic"/>
          <w:b/>
          <w:i w:val="0"/>
          <w:color w:val="1F4E79"/>
          <w:sz w:val="32"/>
        </w:rPr>
        <w:t>۱۰. مقایسه دو فرمول</w:t>
      </w:r>
    </w:p>
    <w:tbl>
      <w:tblPr>
        <w:tblStyle w:val="TableGrid"/>
        <w:tblW w:type="auto" w:w="0"/>
        <w:jc w:val="center"/>
        <w:tblLook w:firstColumn="1" w:firstRow="1" w:lastColumn="0" w:lastRow="0" w:noHBand="0" w:noVBand="1" w:val="04A0"/>
      </w:tblPr>
      <w:tblGrid>
        <w:gridCol w:w="3324"/>
        <w:gridCol w:w="3324"/>
        <w:gridCol w:w="3324"/>
      </w:tblGrid>
      <w:tr>
        <w:tc>
          <w:tcPr>
            <w:tcW w:type="dxa" w:w="3324"/>
            <w:vAlign w:val="center"/>
            <w:shd w:fill="D9EAF7"/>
          </w:tcPr>
          <w:p>
            <w:pPr>
              <w:jc w:val="center"/>
              <w:bidi w:val="1"/>
            </w:pPr>
            <w:r/>
            <w:r>
              <w:rPr>
                <w:rFonts w:ascii="Noto Naskh Arabic" w:hAnsi="Noto Naskh Arabic" w:cs="Noto Naskh Arabic"/>
                <w:b/>
                <w:i w:val="0"/>
                <w:sz w:val="21"/>
              </w:rPr>
              <w:t>بُعد</w:t>
            </w:r>
          </w:p>
        </w:tc>
        <w:tc>
          <w:tcPr>
            <w:tcW w:type="dxa" w:w="3324"/>
            <w:vAlign w:val="center"/>
            <w:shd w:fill="D9EAF7"/>
          </w:tcPr>
          <w:p>
            <w:pPr>
              <w:jc w:val="center"/>
              <w:bidi w:val="1"/>
            </w:pPr>
            <w:r/>
            <w:r>
              <w:rPr>
                <w:rFonts w:ascii="Noto Naskh Arabic" w:hAnsi="Noto Naskh Arabic" w:cs="Noto Naskh Arabic"/>
                <w:b/>
                <w:i w:val="0"/>
                <w:sz w:val="21"/>
              </w:rPr>
              <w:t>فرمول اعتماد و ائتلاف</w:t>
            </w:r>
          </w:p>
        </w:tc>
        <w:tc>
          <w:tcPr>
            <w:tcW w:type="dxa" w:w="3324"/>
            <w:vAlign w:val="center"/>
            <w:shd w:fill="D9EAF7"/>
          </w:tcPr>
          <w:p>
            <w:pPr>
              <w:jc w:val="center"/>
              <w:bidi w:val="1"/>
            </w:pPr>
            <w:r/>
            <w:r>
              <w:rPr>
                <w:rFonts w:ascii="Noto Naskh Arabic" w:hAnsi="Noto Naskh Arabic" w:cs="Noto Naskh Arabic"/>
                <w:b/>
                <w:i w:val="0"/>
                <w:sz w:val="21"/>
              </w:rPr>
              <w:t>فرمول اقتدار حذف‌گرا</w:t>
            </w:r>
          </w:p>
        </w:tc>
      </w:tr>
      <w:tr>
        <w:tc>
          <w:tcPr>
            <w:tcW w:type="dxa" w:w="3324"/>
            <w:vAlign w:val="center"/>
          </w:tcPr>
          <w:p>
            <w:pPr>
              <w:jc w:val="right"/>
              <w:bidi w:val="1"/>
            </w:pPr>
            <w:r/>
            <w:r>
              <w:rPr>
                <w:rFonts w:ascii="Noto Naskh Arabic" w:hAnsi="Noto Naskh Arabic" w:cs="Noto Naskh Arabic"/>
                <w:b w:val="0"/>
                <w:i w:val="0"/>
                <w:sz w:val="19"/>
              </w:rPr>
              <w:t>منبع مشروعیت</w:t>
            </w:r>
          </w:p>
        </w:tc>
        <w:tc>
          <w:tcPr>
            <w:tcW w:type="dxa" w:w="3324"/>
            <w:vAlign w:val="center"/>
          </w:tcPr>
          <w:p>
            <w:pPr>
              <w:jc w:val="right"/>
              <w:bidi w:val="1"/>
            </w:pPr>
            <w:r/>
            <w:r>
              <w:rPr>
                <w:rFonts w:ascii="Noto Naskh Arabic" w:hAnsi="Noto Naskh Arabic" w:cs="Noto Naskh Arabic"/>
                <w:b w:val="0"/>
                <w:i w:val="0"/>
                <w:sz w:val="19"/>
              </w:rPr>
              <w:t>حقوق، ائتلاف، رأی آزاد و قواعد انتقال</w:t>
            </w:r>
          </w:p>
        </w:tc>
        <w:tc>
          <w:tcPr>
            <w:tcW w:type="dxa" w:w="3324"/>
            <w:vAlign w:val="center"/>
          </w:tcPr>
          <w:p>
            <w:pPr>
              <w:jc w:val="right"/>
              <w:bidi w:val="1"/>
            </w:pPr>
            <w:r/>
            <w:r>
              <w:rPr>
                <w:rFonts w:ascii="Noto Naskh Arabic" w:hAnsi="Noto Naskh Arabic" w:cs="Noto Naskh Arabic"/>
                <w:b w:val="0"/>
                <w:i w:val="0"/>
                <w:sz w:val="19"/>
              </w:rPr>
              <w:t>قدرت، انسجام اردوگاهی و توان تحمیل نظم</w:t>
            </w:r>
          </w:p>
        </w:tc>
      </w:tr>
      <w:tr>
        <w:tc>
          <w:tcPr>
            <w:tcW w:type="dxa" w:w="3324"/>
            <w:vAlign w:val="center"/>
          </w:tcPr>
          <w:p>
            <w:pPr>
              <w:jc w:val="right"/>
              <w:bidi w:val="1"/>
            </w:pPr>
            <w:r/>
            <w:r>
              <w:rPr>
                <w:rFonts w:ascii="Noto Naskh Arabic" w:hAnsi="Noto Naskh Arabic" w:cs="Noto Naskh Arabic"/>
                <w:b w:val="0"/>
                <w:i w:val="0"/>
                <w:sz w:val="19"/>
              </w:rPr>
              <w:t>تصویر رقیب</w:t>
            </w:r>
          </w:p>
        </w:tc>
        <w:tc>
          <w:tcPr>
            <w:tcW w:type="dxa" w:w="3324"/>
            <w:vAlign w:val="center"/>
          </w:tcPr>
          <w:p>
            <w:pPr>
              <w:jc w:val="right"/>
              <w:bidi w:val="1"/>
            </w:pPr>
            <w:r/>
            <w:r>
              <w:rPr>
                <w:rFonts w:ascii="Noto Naskh Arabic" w:hAnsi="Noto Naskh Arabic" w:cs="Noto Naskh Arabic"/>
                <w:b w:val="0"/>
                <w:i w:val="0"/>
                <w:sz w:val="19"/>
              </w:rPr>
              <w:t>رقیب مشروع در آینده سیاسی</w:t>
            </w:r>
          </w:p>
        </w:tc>
        <w:tc>
          <w:tcPr>
            <w:tcW w:type="dxa" w:w="3324"/>
            <w:vAlign w:val="center"/>
          </w:tcPr>
          <w:p>
            <w:pPr>
              <w:jc w:val="right"/>
              <w:bidi w:val="1"/>
            </w:pPr>
            <w:r/>
            <w:r>
              <w:rPr>
                <w:rFonts w:ascii="Noto Naskh Arabic" w:hAnsi="Noto Naskh Arabic" w:cs="Noto Naskh Arabic"/>
                <w:b w:val="0"/>
                <w:i w:val="0"/>
                <w:sz w:val="19"/>
              </w:rPr>
              <w:t>مانع، خائن یا بقایای گذشته</w:t>
            </w:r>
          </w:p>
        </w:tc>
      </w:tr>
      <w:tr>
        <w:tc>
          <w:tcPr>
            <w:tcW w:type="dxa" w:w="3324"/>
            <w:vAlign w:val="center"/>
          </w:tcPr>
          <w:p>
            <w:pPr>
              <w:jc w:val="right"/>
              <w:bidi w:val="1"/>
            </w:pPr>
            <w:r/>
            <w:r>
              <w:rPr>
                <w:rFonts w:ascii="Noto Naskh Arabic" w:hAnsi="Noto Naskh Arabic" w:cs="Noto Naskh Arabic"/>
                <w:b w:val="0"/>
                <w:i w:val="0"/>
                <w:sz w:val="19"/>
              </w:rPr>
              <w:t>حقوق بشر</w:t>
            </w:r>
          </w:p>
        </w:tc>
        <w:tc>
          <w:tcPr>
            <w:tcW w:type="dxa" w:w="3324"/>
            <w:vAlign w:val="center"/>
          </w:tcPr>
          <w:p>
            <w:pPr>
              <w:jc w:val="right"/>
              <w:bidi w:val="1"/>
            </w:pPr>
            <w:r/>
            <w:r>
              <w:rPr>
                <w:rFonts w:ascii="Noto Naskh Arabic" w:hAnsi="Noto Naskh Arabic" w:cs="Noto Naskh Arabic"/>
                <w:b w:val="0"/>
                <w:i w:val="0"/>
                <w:sz w:val="19"/>
              </w:rPr>
              <w:t>بخش سازنده راهبرد و تضمین آینده</w:t>
            </w:r>
          </w:p>
        </w:tc>
        <w:tc>
          <w:tcPr>
            <w:tcW w:type="dxa" w:w="3324"/>
            <w:vAlign w:val="center"/>
          </w:tcPr>
          <w:p>
            <w:pPr>
              <w:jc w:val="right"/>
              <w:bidi w:val="1"/>
            </w:pPr>
            <w:r/>
            <w:r>
              <w:rPr>
                <w:rFonts w:ascii="Noto Naskh Arabic" w:hAnsi="Noto Naskh Arabic" w:cs="Noto Naskh Arabic"/>
                <w:b w:val="0"/>
                <w:i w:val="0"/>
                <w:sz w:val="19"/>
              </w:rPr>
              <w:t>محدودیت احتمالی بر سرعت و اقتدار</w:t>
            </w:r>
          </w:p>
        </w:tc>
      </w:tr>
      <w:tr>
        <w:tc>
          <w:tcPr>
            <w:tcW w:type="dxa" w:w="3324"/>
            <w:vAlign w:val="center"/>
          </w:tcPr>
          <w:p>
            <w:pPr>
              <w:jc w:val="right"/>
              <w:bidi w:val="1"/>
            </w:pPr>
            <w:r/>
            <w:r>
              <w:rPr>
                <w:rFonts w:ascii="Noto Naskh Arabic" w:hAnsi="Noto Naskh Arabic" w:cs="Noto Naskh Arabic"/>
                <w:b w:val="0"/>
                <w:i w:val="0"/>
                <w:sz w:val="19"/>
              </w:rPr>
              <w:t>عدالت</w:t>
            </w:r>
          </w:p>
        </w:tc>
        <w:tc>
          <w:tcPr>
            <w:tcW w:type="dxa" w:w="3324"/>
            <w:vAlign w:val="center"/>
          </w:tcPr>
          <w:p>
            <w:pPr>
              <w:jc w:val="right"/>
              <w:bidi w:val="1"/>
            </w:pPr>
            <w:r/>
            <w:r>
              <w:rPr>
                <w:rFonts w:ascii="Noto Naskh Arabic" w:hAnsi="Noto Naskh Arabic" w:cs="Noto Naskh Arabic"/>
                <w:b w:val="0"/>
                <w:i w:val="0"/>
                <w:sz w:val="19"/>
              </w:rPr>
              <w:t>پاسخگویی فردی و عدالت انتقالی</w:t>
            </w:r>
          </w:p>
        </w:tc>
        <w:tc>
          <w:tcPr>
            <w:tcW w:type="dxa" w:w="3324"/>
            <w:vAlign w:val="center"/>
          </w:tcPr>
          <w:p>
            <w:pPr>
              <w:jc w:val="right"/>
              <w:bidi w:val="1"/>
            </w:pPr>
            <w:r/>
            <w:r>
              <w:rPr>
                <w:rFonts w:ascii="Noto Naskh Arabic" w:hAnsi="Noto Naskh Arabic" w:cs="Noto Naskh Arabic"/>
                <w:b w:val="0"/>
                <w:i w:val="0"/>
                <w:sz w:val="19"/>
              </w:rPr>
              <w:t>خطر تسویه‌حساب هویتی یا جمعی</w:t>
            </w:r>
          </w:p>
        </w:tc>
      </w:tr>
      <w:tr>
        <w:tc>
          <w:tcPr>
            <w:tcW w:type="dxa" w:w="3324"/>
            <w:vAlign w:val="center"/>
          </w:tcPr>
          <w:p>
            <w:pPr>
              <w:jc w:val="right"/>
              <w:bidi w:val="1"/>
            </w:pPr>
            <w:r/>
            <w:r>
              <w:rPr>
                <w:rFonts w:ascii="Noto Naskh Arabic" w:hAnsi="Noto Naskh Arabic" w:cs="Noto Naskh Arabic"/>
                <w:b w:val="0"/>
                <w:i w:val="0"/>
                <w:sz w:val="19"/>
              </w:rPr>
              <w:t>جمهوری‌خواهان</w:t>
            </w:r>
          </w:p>
        </w:tc>
        <w:tc>
          <w:tcPr>
            <w:tcW w:type="dxa" w:w="3324"/>
            <w:vAlign w:val="center"/>
          </w:tcPr>
          <w:p>
            <w:pPr>
              <w:jc w:val="right"/>
              <w:bidi w:val="1"/>
            </w:pPr>
            <w:r/>
            <w:r>
              <w:rPr>
                <w:rFonts w:ascii="Noto Naskh Arabic" w:hAnsi="Noto Naskh Arabic" w:cs="Noto Naskh Arabic"/>
                <w:b w:val="0"/>
                <w:i w:val="0"/>
                <w:sz w:val="19"/>
              </w:rPr>
              <w:t>شریک بالقوه در گذار و رقیب در انتخابات</w:t>
            </w:r>
          </w:p>
        </w:tc>
        <w:tc>
          <w:tcPr>
            <w:tcW w:type="dxa" w:w="3324"/>
            <w:vAlign w:val="center"/>
          </w:tcPr>
          <w:p>
            <w:pPr>
              <w:jc w:val="right"/>
              <w:bidi w:val="1"/>
            </w:pPr>
            <w:r/>
            <w:r>
              <w:rPr>
                <w:rFonts w:ascii="Noto Naskh Arabic" w:hAnsi="Noto Naskh Arabic" w:cs="Noto Naskh Arabic"/>
                <w:b w:val="0"/>
                <w:i w:val="0"/>
                <w:sz w:val="19"/>
              </w:rPr>
              <w:t>تهدید بالقوه برای پروژه بازگشت سلطنت</w:t>
            </w:r>
          </w:p>
        </w:tc>
      </w:tr>
      <w:tr>
        <w:tc>
          <w:tcPr>
            <w:tcW w:type="dxa" w:w="3324"/>
            <w:vAlign w:val="center"/>
          </w:tcPr>
          <w:p>
            <w:pPr>
              <w:jc w:val="right"/>
              <w:bidi w:val="1"/>
            </w:pPr>
            <w:r/>
            <w:r>
              <w:rPr>
                <w:rFonts w:ascii="Noto Naskh Arabic" w:hAnsi="Noto Naskh Arabic" w:cs="Noto Naskh Arabic"/>
                <w:b w:val="0"/>
                <w:i w:val="0"/>
                <w:sz w:val="19"/>
              </w:rPr>
              <w:t>نیروهای دولتی</w:t>
            </w:r>
          </w:p>
        </w:tc>
        <w:tc>
          <w:tcPr>
            <w:tcW w:type="dxa" w:w="3324"/>
            <w:vAlign w:val="center"/>
          </w:tcPr>
          <w:p>
            <w:pPr>
              <w:jc w:val="right"/>
              <w:bidi w:val="1"/>
            </w:pPr>
            <w:r/>
            <w:r>
              <w:rPr>
                <w:rFonts w:ascii="Noto Naskh Arabic" w:hAnsi="Noto Naskh Arabic" w:cs="Noto Naskh Arabic"/>
                <w:b w:val="0"/>
                <w:i w:val="0"/>
                <w:sz w:val="19"/>
              </w:rPr>
              <w:t>تفکیک بدنه از عاملان جرم؛ تشویق به ریزش</w:t>
            </w:r>
          </w:p>
        </w:tc>
        <w:tc>
          <w:tcPr>
            <w:tcW w:type="dxa" w:w="3324"/>
            <w:vAlign w:val="center"/>
          </w:tcPr>
          <w:p>
            <w:pPr>
              <w:jc w:val="right"/>
              <w:bidi w:val="1"/>
            </w:pPr>
            <w:r/>
            <w:r>
              <w:rPr>
                <w:rFonts w:ascii="Noto Naskh Arabic" w:hAnsi="Noto Naskh Arabic" w:cs="Noto Naskh Arabic"/>
                <w:b w:val="0"/>
                <w:i w:val="0"/>
                <w:sz w:val="19"/>
              </w:rPr>
              <w:t>تهدید به پاکسازی می‌تواند هزینه ریزش را بالا ببرد</w:t>
            </w:r>
          </w:p>
        </w:tc>
      </w:tr>
      <w:tr>
        <w:tc>
          <w:tcPr>
            <w:tcW w:type="dxa" w:w="3324"/>
            <w:vAlign w:val="center"/>
          </w:tcPr>
          <w:p>
            <w:pPr>
              <w:jc w:val="right"/>
              <w:bidi w:val="1"/>
            </w:pPr>
            <w:r/>
            <w:r>
              <w:rPr>
                <w:rFonts w:ascii="Noto Naskh Arabic" w:hAnsi="Noto Naskh Arabic" w:cs="Noto Naskh Arabic"/>
                <w:b w:val="0"/>
                <w:i w:val="0"/>
                <w:sz w:val="19"/>
              </w:rPr>
              <w:t>رسانه و جامعه جهانی</w:t>
            </w:r>
          </w:p>
        </w:tc>
        <w:tc>
          <w:tcPr>
            <w:tcW w:type="dxa" w:w="3324"/>
            <w:vAlign w:val="center"/>
          </w:tcPr>
          <w:p>
            <w:pPr>
              <w:jc w:val="right"/>
              <w:bidi w:val="1"/>
            </w:pPr>
            <w:r/>
            <w:r>
              <w:rPr>
                <w:rFonts w:ascii="Noto Naskh Arabic" w:hAnsi="Noto Naskh Arabic" w:cs="Noto Naskh Arabic"/>
                <w:b w:val="0"/>
                <w:i w:val="0"/>
                <w:sz w:val="19"/>
              </w:rPr>
              <w:t>قابلیت ارائه به‌عنوان پروژه حقوق‌محور و قانونمند</w:t>
            </w:r>
          </w:p>
        </w:tc>
        <w:tc>
          <w:tcPr>
            <w:tcW w:type="dxa" w:w="3324"/>
            <w:vAlign w:val="center"/>
          </w:tcPr>
          <w:p>
            <w:pPr>
              <w:jc w:val="right"/>
              <w:bidi w:val="1"/>
            </w:pPr>
            <w:r/>
            <w:r>
              <w:rPr>
                <w:rFonts w:ascii="Noto Naskh Arabic" w:hAnsi="Noto Naskh Arabic" w:cs="Noto Naskh Arabic"/>
                <w:b w:val="0"/>
                <w:i w:val="0"/>
                <w:sz w:val="19"/>
              </w:rPr>
              <w:t>خطر برداشت اقتدارگرایانه در صورت زبان حذف و انتقام</w:t>
            </w:r>
          </w:p>
        </w:tc>
      </w:tr>
      <w:tr>
        <w:tc>
          <w:tcPr>
            <w:tcW w:type="dxa" w:w="3324"/>
            <w:vAlign w:val="center"/>
          </w:tcPr>
          <w:p>
            <w:pPr>
              <w:jc w:val="right"/>
              <w:bidi w:val="1"/>
            </w:pPr>
            <w:r/>
            <w:r>
              <w:rPr>
                <w:rFonts w:ascii="Noto Naskh Arabic" w:hAnsi="Noto Naskh Arabic" w:cs="Noto Naskh Arabic"/>
                <w:b w:val="0"/>
                <w:i w:val="0"/>
                <w:sz w:val="19"/>
              </w:rPr>
              <w:t>نتیجه مطلوب</w:t>
            </w:r>
          </w:p>
        </w:tc>
        <w:tc>
          <w:tcPr>
            <w:tcW w:type="dxa" w:w="3324"/>
            <w:vAlign w:val="center"/>
          </w:tcPr>
          <w:p>
            <w:pPr>
              <w:jc w:val="right"/>
              <w:bidi w:val="1"/>
            </w:pPr>
            <w:r/>
            <w:r>
              <w:rPr>
                <w:rFonts w:ascii="Noto Naskh Arabic" w:hAnsi="Noto Naskh Arabic" w:cs="Noto Naskh Arabic"/>
                <w:b w:val="0"/>
                <w:i w:val="0"/>
                <w:sz w:val="19"/>
              </w:rPr>
              <w:t>قدرت از مسیر مشروعیت و سپس اقتدار قانونمند</w:t>
            </w:r>
          </w:p>
        </w:tc>
        <w:tc>
          <w:tcPr>
            <w:tcW w:type="dxa" w:w="3324"/>
            <w:vAlign w:val="center"/>
          </w:tcPr>
          <w:p>
            <w:pPr>
              <w:jc w:val="right"/>
              <w:bidi w:val="1"/>
            </w:pPr>
            <w:r/>
            <w:r>
              <w:rPr>
                <w:rFonts w:ascii="Noto Naskh Arabic" w:hAnsi="Noto Naskh Arabic" w:cs="Noto Naskh Arabic"/>
                <w:b w:val="0"/>
                <w:i w:val="0"/>
                <w:sz w:val="19"/>
              </w:rPr>
              <w:t>اقتدار برای رسیدن به قدرت؛ با خطر نرسیدن به مشروعیت پایدار</w:t>
            </w:r>
          </w:p>
        </w:tc>
      </w:tr>
    </w:tbl>
    <w:p>
      <w:pPr>
        <w:spacing w:before="200" w:after="100"/>
        <w:jc w:val="right"/>
        <w:keepNext/>
        <w:bidi w:val="1"/>
      </w:pPr>
      <w:r>
        <w:rPr>
          <w:rFonts w:ascii="Noto Naskh Arabic" w:hAnsi="Noto Naskh Arabic" w:cs="Noto Naskh Arabic"/>
          <w:b/>
          <w:i w:val="0"/>
          <w:color w:val="1F4E79"/>
          <w:sz w:val="32"/>
        </w:rPr>
        <w:t>۱۱. نقد درونی فرمول اعتماد: خطر شخصی‌شدن و خوش‌بینی بیش از حد</w:t>
      </w:r>
    </w:p>
    <w:p>
      <w:pPr>
        <w:spacing w:after="100" w:line="276" w:lineRule="auto"/>
        <w:ind w:firstLine="312"/>
        <w:jc w:val="both"/>
        <w:bidi w:val="1"/>
      </w:pPr>
      <w:r>
        <w:rPr>
          <w:rFonts w:ascii="Noto Naskh Arabic" w:hAnsi="Noto Naskh Arabic" w:cs="Noto Naskh Arabic"/>
          <w:b w:val="0"/>
          <w:i w:val="0"/>
          <w:sz w:val="24"/>
        </w:rPr>
        <w:t>برای علمی‌بودن استدلال، باید خطرهای خود فرمول اعتماد نیز دیده شود. نخست، ائتلاف گسترده می‌تواند به ابهام برنامه‌ای منجر شود؛ توافق بر «ضد جمهوری اسلامی بودن» کافی نیست و باید درباره ترتیبات امنیتی، اقتصاد، قانون اساسی موقت و عدالت انتقالی جزئیات وجود داشته باشد. دوم، اگر ائتلاف بیش از حد حول یک فرد سازمان یابد، همان فرد می‌تواند به نقطه شکست ائتلاف تبدیل شود. سوم، زبان آشتی در صورت فقدان عدالت ممکن است از سوی قربانیان به‌عنوان فراموشی یا مصالحه با عاملان سرکوب تلقی شود. چهارم، حمایت خارجی اگر از ظرفیت داخلی جدا شود می‌تواند مشروعیت را تضعیف کند. بنابراین «فرمول عشق» فقط زمانی سیاسی و نه صرفاً اخلاقی است که به نهاد، برنامه، سازوکار پاسخگویی و محدودیت قدرت ترجمه شود.</w:t>
      </w:r>
    </w:p>
    <w:p>
      <w:pPr>
        <w:spacing w:before="200" w:after="100"/>
        <w:jc w:val="right"/>
        <w:keepNext/>
        <w:bidi w:val="1"/>
      </w:pPr>
      <w:r>
        <w:rPr>
          <w:rFonts w:ascii="Noto Naskh Arabic" w:hAnsi="Noto Naskh Arabic" w:cs="Noto Naskh Arabic"/>
          <w:b/>
          <w:i w:val="0"/>
          <w:color w:val="1F4E79"/>
          <w:sz w:val="32"/>
        </w:rPr>
        <w:t>۱۲. پیشنهاد نهادی: منشور حداقلی برای ائتلاف گذار</w:t>
      </w:r>
    </w:p>
    <w:p>
      <w:pPr>
        <w:spacing w:after="60"/>
        <w:ind w:left="170" w:right="227"/>
        <w:jc w:val="both"/>
        <w:bidi w:val="1"/>
      </w:pPr>
      <w:r>
        <w:rPr>
          <w:rFonts w:ascii="Noto Naskh Arabic" w:hAnsi="Noto Naskh Arabic" w:cs="Noto Naskh Arabic"/>
          <w:b w:val="0"/>
          <w:i w:val="0"/>
          <w:sz w:val="23"/>
        </w:rPr>
        <w:t>• تعهد غیرقابل تعلیق به اعلامیه جهانی حقوق بشر و میثاق‌های اصلی حقوق مدنی و سیاسی؛</w:t>
      </w:r>
    </w:p>
    <w:p>
      <w:pPr>
        <w:spacing w:after="60"/>
        <w:ind w:left="170" w:right="227"/>
        <w:jc w:val="both"/>
        <w:bidi w:val="1"/>
      </w:pPr>
      <w:r>
        <w:rPr>
          <w:rFonts w:ascii="Noto Naskh Arabic" w:hAnsi="Noto Naskh Arabic" w:cs="Noto Naskh Arabic"/>
          <w:b w:val="0"/>
          <w:i w:val="0"/>
          <w:sz w:val="23"/>
        </w:rPr>
        <w:t>• آزادی زندانیان سیاسی و جرم‌زدایی از فعالیت مسالمت‌آمیز سیاسی؛</w:t>
      </w:r>
    </w:p>
    <w:p>
      <w:pPr>
        <w:spacing w:after="60"/>
        <w:ind w:left="170" w:right="227"/>
        <w:jc w:val="both"/>
        <w:bidi w:val="1"/>
      </w:pPr>
      <w:r>
        <w:rPr>
          <w:rFonts w:ascii="Noto Naskh Arabic" w:hAnsi="Noto Naskh Arabic" w:cs="Noto Naskh Arabic"/>
          <w:b w:val="0"/>
          <w:i w:val="0"/>
          <w:sz w:val="23"/>
        </w:rPr>
        <w:t>• جدایی نهاد دین از دولت و برابری همه باورها و ناباوری‌ها در برابر قانون؛</w:t>
      </w:r>
    </w:p>
    <w:p>
      <w:pPr>
        <w:spacing w:after="60"/>
        <w:ind w:left="170" w:right="227"/>
        <w:jc w:val="both"/>
        <w:bidi w:val="1"/>
      </w:pPr>
      <w:r>
        <w:rPr>
          <w:rFonts w:ascii="Noto Naskh Arabic" w:hAnsi="Noto Naskh Arabic" w:cs="Noto Naskh Arabic"/>
          <w:b w:val="0"/>
          <w:i w:val="0"/>
          <w:sz w:val="23"/>
        </w:rPr>
        <w:t>• حفظ تمامیت ارضی همراه با برابری شهروندی و حقوق فرهنگی و زبانی؛</w:t>
      </w:r>
    </w:p>
    <w:p>
      <w:pPr>
        <w:spacing w:after="60"/>
        <w:ind w:left="170" w:right="227"/>
        <w:jc w:val="both"/>
        <w:bidi w:val="1"/>
      </w:pPr>
      <w:r>
        <w:rPr>
          <w:rFonts w:ascii="Noto Naskh Arabic" w:hAnsi="Noto Naskh Arabic" w:cs="Noto Naskh Arabic"/>
          <w:b w:val="0"/>
          <w:i w:val="0"/>
          <w:sz w:val="23"/>
        </w:rPr>
        <w:t>• استقلال قوه قضاییه، منع شکنجه و حق دادرسی عادلانه؛</w:t>
      </w:r>
    </w:p>
    <w:p>
      <w:pPr>
        <w:spacing w:after="60"/>
        <w:ind w:left="170" w:right="227"/>
        <w:jc w:val="both"/>
        <w:bidi w:val="1"/>
      </w:pPr>
      <w:r>
        <w:rPr>
          <w:rFonts w:ascii="Noto Naskh Arabic" w:hAnsi="Noto Naskh Arabic" w:cs="Noto Naskh Arabic"/>
          <w:b w:val="0"/>
          <w:i w:val="0"/>
          <w:sz w:val="23"/>
        </w:rPr>
        <w:t>• عدالت انتقالی مبتنی بر حقیقت‌یابی، مسئولیت فردی و منع انتقام جمعی؛</w:t>
      </w:r>
    </w:p>
    <w:p>
      <w:pPr>
        <w:spacing w:after="60"/>
        <w:ind w:left="170" w:right="227"/>
        <w:jc w:val="both"/>
        <w:bidi w:val="1"/>
      </w:pPr>
      <w:r>
        <w:rPr>
          <w:rFonts w:ascii="Noto Naskh Arabic" w:hAnsi="Noto Naskh Arabic" w:cs="Noto Naskh Arabic"/>
          <w:b w:val="0"/>
          <w:i w:val="0"/>
          <w:sz w:val="23"/>
        </w:rPr>
        <w:t>• آزادی رسانه‌ها، احزاب، اتحادیه‌ها و سازمان‌های مدنی در دوره انتقال؛</w:t>
      </w:r>
    </w:p>
    <w:p>
      <w:pPr>
        <w:spacing w:after="60"/>
        <w:ind w:left="170" w:right="227"/>
        <w:jc w:val="both"/>
        <w:bidi w:val="1"/>
      </w:pPr>
      <w:r>
        <w:rPr>
          <w:rFonts w:ascii="Noto Naskh Arabic" w:hAnsi="Noto Naskh Arabic" w:cs="Noto Naskh Arabic"/>
          <w:b w:val="0"/>
          <w:i w:val="0"/>
          <w:sz w:val="23"/>
        </w:rPr>
        <w:t>• زمان‌بندی شفاف برای مجلس مؤسسان/فرایند قانون اساسی و انتخابات آزاد؛</w:t>
      </w:r>
    </w:p>
    <w:p>
      <w:pPr>
        <w:spacing w:after="60"/>
        <w:ind w:left="170" w:right="227"/>
        <w:jc w:val="both"/>
        <w:bidi w:val="1"/>
      </w:pPr>
      <w:r>
        <w:rPr>
          <w:rFonts w:ascii="Noto Naskh Arabic" w:hAnsi="Noto Naskh Arabic" w:cs="Noto Naskh Arabic"/>
          <w:b w:val="0"/>
          <w:i w:val="0"/>
          <w:sz w:val="23"/>
        </w:rPr>
        <w:t>• بی‌طرفی ساختار موقت نسبت به نتیجه نهایی «جمهوری یا پادشاهی مشروطه»؛</w:t>
      </w:r>
    </w:p>
    <w:p>
      <w:pPr>
        <w:spacing w:after="60"/>
        <w:ind w:left="170" w:right="227"/>
        <w:jc w:val="both"/>
        <w:bidi w:val="1"/>
      </w:pPr>
      <w:r>
        <w:rPr>
          <w:rFonts w:ascii="Noto Naskh Arabic" w:hAnsi="Noto Naskh Arabic" w:cs="Noto Naskh Arabic"/>
          <w:b w:val="0"/>
          <w:i w:val="0"/>
          <w:sz w:val="23"/>
        </w:rPr>
        <w:t>• تعهد رهبر یا شورای انتقالی به ترک یا محدودکردن قدرت بر اساس زمان‌بندی و نتیجه انتخابات.</w:t>
      </w:r>
    </w:p>
    <w:p>
      <w:pPr>
        <w:spacing w:before="200" w:after="100"/>
        <w:jc w:val="right"/>
        <w:keepNext/>
        <w:bidi w:val="1"/>
      </w:pPr>
      <w:r>
        <w:rPr>
          <w:rFonts w:ascii="Noto Naskh Arabic" w:hAnsi="Noto Naskh Arabic" w:cs="Noto Naskh Arabic"/>
          <w:b/>
          <w:i w:val="0"/>
          <w:color w:val="1F4E79"/>
          <w:sz w:val="32"/>
        </w:rPr>
        <w:t>۱۳. نتیجه‌گیری: قدرت پایدار از اعتماد می‌آید، نه از ترس</w:t>
      </w:r>
    </w:p>
    <w:p>
      <w:pPr>
        <w:spacing w:after="100" w:line="276" w:lineRule="auto"/>
        <w:ind w:firstLine="312"/>
        <w:jc w:val="both"/>
        <w:bidi w:val="1"/>
      </w:pPr>
      <w:r>
        <w:rPr>
          <w:rFonts w:ascii="Noto Naskh Arabic" w:hAnsi="Noto Naskh Arabic" w:cs="Noto Naskh Arabic"/>
          <w:b w:val="0"/>
          <w:i w:val="0"/>
          <w:sz w:val="24"/>
        </w:rPr>
        <w:t>تز اصلی این مقاله آن است که در یک گذار دموکراتیک، اقتدار و حقوق بشر دو قطب متضاد نیستند. اقتدارِ پایدار هنگامی شکل می‌گیرد که شهروندان و نیروهای سازمان‌یافته باور کنند قواعد جدید حتی در صورت شکست سیاسی نیز از حقوق آنان حفاظت می‌کند. از این رو، پروژه‌ای که بخواهد رضا پهلوی را به‌عنوان چهره‌ای محوری در دوران گذار معرفی کند، از نظر راهبردی بیشترین ظرفیت را زمانی خواهد داشت که او را نه به‌عنوان وارث حق انحصاری حکومت، بلکه به‌عنوان ضامن موقت یک فرایند ملی، آشتی‌جویانه، حقوق‌محور و انتخاباتی تعریف کند.</w:t>
      </w:r>
    </w:p>
    <w:p>
      <w:pPr>
        <w:spacing w:after="100" w:line="276" w:lineRule="auto"/>
        <w:ind w:firstLine="312"/>
        <w:jc w:val="both"/>
        <w:bidi w:val="1"/>
      </w:pPr>
      <w:r>
        <w:rPr>
          <w:rFonts w:ascii="Noto Naskh Arabic" w:hAnsi="Noto Naskh Arabic" w:cs="Noto Naskh Arabic"/>
          <w:b w:val="0"/>
          <w:i w:val="0"/>
          <w:sz w:val="24"/>
        </w:rPr>
        <w:t>در این مدل، جمهوری‌خواهی و پادشاهی‌خواهی به دشمنی وجودی تبدیل نمی‌شوند؛ هر دو به گزینه‌هایی درون یک نظم مشترک تبدیل می‌شوند. حتی کسی که انقلاب ۱۳۵۷ را از زاویه حقوق بشر توجیه می‌کند، می‌تواند امروز با کسی که آن انقلاب را فاجعه تاریخی می‌داند بر سر یک اصل مشترک متحد شود: هیچ‌کس حق ندارد آینده ایران را بدون رأی آزاد مردم مصادره کند. همین اصل می‌تواند «عشق به ایران» را از یک شعار هویتی به یک قاعده سیاسی تبدیل کند: ایران متعلق به همه شهروندان است، حتی کسانی که درباره گذشته و شکل آینده حکومت با یکدیگر اختلاف دارند.</w:t>
      </w:r>
    </w:p>
    <w:p>
      <w:pPr>
        <w:spacing w:after="100" w:line="276" w:lineRule="auto"/>
        <w:ind w:firstLine="312"/>
        <w:jc w:val="both"/>
        <w:bidi w:val="1"/>
      </w:pPr>
      <w:r>
        <w:rPr>
          <w:rFonts w:ascii="Noto Naskh Arabic" w:hAnsi="Noto Naskh Arabic" w:cs="Noto Naskh Arabic"/>
          <w:b w:val="0"/>
          <w:i w:val="0"/>
          <w:sz w:val="24"/>
        </w:rPr>
        <w:t>اگر در پایان چنین فرایندی، اکثریت ایرانیان پادشاهی مشروطه و رضا پهلوی را برگزینند، این انتخاب از منطق دموکراتیک قدرت می‌گیرد، نه از حذف رقبا. و اگر انتخاب دیگری صورت گیرد، پذیرش نتیجه خود مهم‌ترین آزمون تعهد به سکولار دموکراسی خواهد بود. بنابراین راه رسیدن به اقتدار دموکراتیک، در این تحلیل، از حقوق بشر، آشتی، مشارکت، نهاد و صندوق رأی می‌گذرد؛ نه از تعلیق آن‌ها.</w:t>
      </w:r>
    </w:p>
    <w:p>
      <w:pPr>
        <w:spacing w:before="200" w:after="100"/>
        <w:jc w:val="right"/>
        <w:keepNext/>
        <w:bidi w:val="1"/>
      </w:pPr>
      <w:r>
        <w:rPr>
          <w:rFonts w:ascii="Noto Naskh Arabic" w:hAnsi="Noto Naskh Arabic" w:cs="Noto Naskh Arabic"/>
          <w:b/>
          <w:i w:val="0"/>
          <w:color w:val="1F4E79"/>
          <w:sz w:val="32"/>
        </w:rPr>
        <w:t>منابع</w:t>
      </w:r>
    </w:p>
    <w:p>
      <w:pPr>
        <w:spacing w:after="80"/>
        <w:ind w:hanging="283" w:left="283"/>
        <w:jc w:val="left"/>
      </w:pPr>
      <w:r>
        <w:rPr>
          <w:rFonts w:ascii="Noto Sans" w:hAnsi="Noto Sans" w:cs="Noto Sans"/>
          <w:b w:val="0"/>
          <w:i w:val="0"/>
          <w:sz w:val="19"/>
        </w:rPr>
        <w:t>Brewer, M. B. (1999). The psychology of prejudice: Ingroup love and outgroup hate? Journal of Social Issues, 55(3), 429–444. https://doi.org/10.1111/0022-4537.00126</w:t>
      </w:r>
    </w:p>
    <w:p>
      <w:pPr>
        <w:spacing w:after="80"/>
        <w:ind w:hanging="283" w:left="283"/>
        <w:jc w:val="left"/>
      </w:pPr>
      <w:r>
        <w:rPr>
          <w:rFonts w:ascii="Noto Sans" w:hAnsi="Noto Sans" w:cs="Noto Sans"/>
          <w:b w:val="0"/>
          <w:i w:val="0"/>
          <w:sz w:val="19"/>
        </w:rPr>
        <w:t>Chenoweth, E., &amp; Stephan, M. J. (2011). Why Civil Resistance Works: The Strategic Logic of Nonviolent Conflict. Columbia University Press.</w:t>
      </w:r>
    </w:p>
    <w:p>
      <w:pPr>
        <w:spacing w:after="80"/>
        <w:ind w:hanging="283" w:left="283"/>
        <w:jc w:val="left"/>
      </w:pPr>
      <w:r>
        <w:rPr>
          <w:rFonts w:ascii="Noto Sans" w:hAnsi="Noto Sans" w:cs="Noto Sans"/>
          <w:b w:val="0"/>
          <w:i w:val="0"/>
          <w:sz w:val="19"/>
        </w:rPr>
        <w:t>Gibson, J. L. (2004). Does truth lead to reconciliation? Testing the causal assumptions of the South African Truth and Reconciliation Process. American Journal of Political Science, 48(2), 201–217. https://doi.org/10.1111/j.0092-5853.2004.00065.x</w:t>
      </w:r>
    </w:p>
    <w:p>
      <w:pPr>
        <w:spacing w:after="80"/>
        <w:ind w:hanging="283" w:left="283"/>
        <w:jc w:val="left"/>
      </w:pPr>
      <w:r>
        <w:rPr>
          <w:rFonts w:ascii="Noto Sans" w:hAnsi="Noto Sans" w:cs="Noto Sans"/>
          <w:b w:val="0"/>
          <w:i w:val="0"/>
          <w:sz w:val="19"/>
        </w:rPr>
        <w:t>Iyengar, S., Lelkes, Y., Levendusky, M., Malhotra, N., &amp; Westwood, S. J. (2019). The origins and consequences of affective polarization in the United States. Annual Review of Political Science, 22, 129–146.</w:t>
      </w:r>
    </w:p>
    <w:p>
      <w:pPr>
        <w:spacing w:after="80"/>
        <w:ind w:hanging="283" w:left="283"/>
        <w:jc w:val="left"/>
      </w:pPr>
      <w:r>
        <w:rPr>
          <w:rFonts w:ascii="Noto Sans" w:hAnsi="Noto Sans" w:cs="Noto Sans"/>
          <w:b w:val="0"/>
          <w:i w:val="0"/>
          <w:sz w:val="19"/>
        </w:rPr>
        <w:t>Lederach, J. P. (1997). Building Peace: Sustainable Reconciliation in Divided Societies. United States Institute of Peace Press.</w:t>
      </w:r>
    </w:p>
    <w:p>
      <w:pPr>
        <w:spacing w:after="80"/>
        <w:ind w:hanging="283" w:left="283"/>
        <w:jc w:val="left"/>
      </w:pPr>
      <w:r>
        <w:rPr>
          <w:rFonts w:ascii="Noto Sans" w:hAnsi="Noto Sans" w:cs="Noto Sans"/>
          <w:b w:val="0"/>
          <w:i w:val="0"/>
          <w:sz w:val="19"/>
        </w:rPr>
        <w:t>Levitsky, S., &amp; Ziblatt, D. (2018). How Democracies Die. Crown.</w:t>
      </w:r>
    </w:p>
    <w:p>
      <w:pPr>
        <w:spacing w:after="80"/>
        <w:ind w:hanging="283" w:left="283"/>
        <w:jc w:val="left"/>
      </w:pPr>
      <w:r>
        <w:rPr>
          <w:rFonts w:ascii="Noto Sans" w:hAnsi="Noto Sans" w:cs="Noto Sans"/>
          <w:b w:val="0"/>
          <w:i w:val="0"/>
          <w:sz w:val="19"/>
        </w:rPr>
        <w:t>Linz, J. J. (2000). Totalitarian and Authoritarian Regimes. Lynne Rienner.</w:t>
      </w:r>
    </w:p>
    <w:p>
      <w:pPr>
        <w:spacing w:after="80"/>
        <w:ind w:hanging="283" w:left="283"/>
        <w:jc w:val="left"/>
      </w:pPr>
      <w:r>
        <w:rPr>
          <w:rFonts w:ascii="Noto Sans" w:hAnsi="Noto Sans" w:cs="Noto Sans"/>
          <w:b w:val="0"/>
          <w:i w:val="0"/>
          <w:sz w:val="19"/>
        </w:rPr>
        <w:t>Linz, J. J., &amp; Stepan, A. (1996). Problems of Democratic Transition and Consolidation. Johns Hopkins University Press.</w:t>
      </w:r>
    </w:p>
    <w:p>
      <w:pPr>
        <w:spacing w:after="80"/>
        <w:ind w:hanging="283" w:left="283"/>
        <w:jc w:val="left"/>
      </w:pPr>
      <w:r>
        <w:rPr>
          <w:rFonts w:ascii="Noto Sans" w:hAnsi="Noto Sans" w:cs="Noto Sans"/>
          <w:b w:val="0"/>
          <w:i w:val="0"/>
          <w:sz w:val="19"/>
        </w:rPr>
        <w:t>O’Donnell, G., &amp; Schmitter, P. C. (1986). Transitions from Authoritarian Rule: Tentative Conclusions about Uncertain Democracies. Johns Hopkins University Press.</w:t>
      </w:r>
    </w:p>
    <w:p>
      <w:pPr>
        <w:spacing w:after="80"/>
        <w:ind w:hanging="283" w:left="283"/>
        <w:jc w:val="left"/>
      </w:pPr>
      <w:r>
        <w:rPr>
          <w:rFonts w:ascii="Noto Sans" w:hAnsi="Noto Sans" w:cs="Noto Sans"/>
          <w:b w:val="0"/>
          <w:i w:val="0"/>
          <w:sz w:val="19"/>
        </w:rPr>
        <w:t>Pahlavi, R. (2026a, March 14). Announcing the Plan to Govern the Country Under the Transition System. Official website of Reza Pahlavi.</w:t>
      </w:r>
    </w:p>
    <w:p>
      <w:pPr>
        <w:spacing w:after="80"/>
        <w:ind w:hanging="283" w:left="283"/>
        <w:jc w:val="left"/>
      </w:pPr>
      <w:r>
        <w:rPr>
          <w:rFonts w:ascii="Noto Sans" w:hAnsi="Noto Sans" w:cs="Noto Sans"/>
          <w:b w:val="0"/>
          <w:i w:val="0"/>
          <w:sz w:val="19"/>
        </w:rPr>
        <w:t>Pahlavi, R. (2026b, July 6). Speech at the Foreign Affairs Committee of the Dutch House of Representatives. Official website of Reza Pahlavi.</w:t>
      </w:r>
    </w:p>
    <w:p>
      <w:pPr>
        <w:spacing w:after="80"/>
        <w:ind w:hanging="283" w:left="283"/>
        <w:jc w:val="left"/>
      </w:pPr>
      <w:r>
        <w:rPr>
          <w:rFonts w:ascii="Noto Sans" w:hAnsi="Noto Sans" w:cs="Noto Sans"/>
          <w:b w:val="0"/>
          <w:i w:val="0"/>
          <w:sz w:val="19"/>
        </w:rPr>
        <w:t>Przeworski, A. (1991). Democracy and the Market. Cambridge University Press.</w:t>
      </w:r>
    </w:p>
    <w:p>
      <w:pPr>
        <w:spacing w:after="80"/>
        <w:ind w:hanging="283" w:left="283"/>
        <w:jc w:val="left"/>
      </w:pPr>
      <w:r>
        <w:rPr>
          <w:rFonts w:ascii="Noto Sans" w:hAnsi="Noto Sans" w:cs="Noto Sans"/>
          <w:b w:val="0"/>
          <w:i w:val="0"/>
          <w:sz w:val="19"/>
        </w:rPr>
        <w:t>Reuters. (2026, July 27). Regime change? Inside Reza Pahlavi’s faltering bid to lead Iran.</w:t>
      </w:r>
    </w:p>
    <w:p>
      <w:pPr>
        <w:spacing w:after="80"/>
        <w:ind w:hanging="283" w:left="283"/>
        <w:jc w:val="left"/>
      </w:pPr>
      <w:r>
        <w:rPr>
          <w:rFonts w:ascii="Noto Sans" w:hAnsi="Noto Sans" w:cs="Noto Sans"/>
          <w:b w:val="0"/>
          <w:i w:val="0"/>
          <w:sz w:val="19"/>
        </w:rPr>
        <w:t>Sikkink, K. (2011). The Justice Cascade: How Human Rights Prosecutions Are Changing World Politics. W. W. Norton.</w:t>
      </w:r>
    </w:p>
    <w:p>
      <w:pPr>
        <w:spacing w:after="80"/>
        <w:ind w:hanging="283" w:left="283"/>
        <w:jc w:val="left"/>
      </w:pPr>
      <w:r>
        <w:rPr>
          <w:rFonts w:ascii="Noto Sans" w:hAnsi="Noto Sans" w:cs="Noto Sans"/>
          <w:b w:val="0"/>
          <w:i w:val="0"/>
          <w:sz w:val="19"/>
        </w:rPr>
        <w:t>Svolik, M. W. (2019). Polarization versus democracy. Journal of Democracy, 30(3), 20–32.</w:t>
      </w:r>
    </w:p>
    <w:p>
      <w:pPr>
        <w:spacing w:after="80"/>
        <w:ind w:hanging="283" w:left="283"/>
        <w:jc w:val="left"/>
      </w:pPr>
      <w:r>
        <w:rPr>
          <w:rFonts w:ascii="Noto Sans" w:hAnsi="Noto Sans" w:cs="Noto Sans"/>
          <w:b w:val="0"/>
          <w:i w:val="0"/>
          <w:sz w:val="19"/>
        </w:rPr>
        <w:t>Teitel, R. G. (2000). Transitional Justice. Oxford University Press.</w:t>
      </w:r>
    </w:p>
    <w:p>
      <w:pPr>
        <w:spacing w:after="80"/>
        <w:ind w:hanging="283" w:left="283"/>
        <w:jc w:val="left"/>
      </w:pPr>
      <w:r>
        <w:rPr>
          <w:rFonts w:ascii="Noto Sans" w:hAnsi="Noto Sans" w:cs="Noto Sans"/>
          <w:b w:val="0"/>
          <w:i w:val="0"/>
          <w:sz w:val="19"/>
        </w:rPr>
        <w:t>Torbati, Y. (2026, January 14). Iran’s opposition is battling to oust regime but hobbled by divisions. The Washington Post.</w:t>
      </w:r>
    </w:p>
    <w:p>
      <w:pPr>
        <w:spacing w:before="200" w:after="100"/>
        <w:jc w:val="right"/>
        <w:keepNext/>
        <w:bidi w:val="1"/>
      </w:pPr>
      <w:r>
        <w:rPr>
          <w:rFonts w:ascii="Noto Naskh Arabic" w:hAnsi="Noto Naskh Arabic" w:cs="Noto Naskh Arabic"/>
          <w:b/>
          <w:i w:val="0"/>
          <w:color w:val="1F4E79"/>
          <w:sz w:val="32"/>
        </w:rPr>
        <w:t>یادداشت روش‌شناختی</w:t>
      </w:r>
    </w:p>
    <w:p>
      <w:pPr>
        <w:spacing w:after="100" w:line="276" w:lineRule="auto"/>
        <w:ind w:firstLine="312"/>
        <w:jc w:val="both"/>
        <w:bidi w:val="1"/>
      </w:pPr>
      <w:r>
        <w:rPr>
          <w:rFonts w:ascii="Noto Naskh Arabic" w:hAnsi="Noto Naskh Arabic" w:cs="Noto Naskh Arabic"/>
          <w:b w:val="0"/>
          <w:i w:val="0"/>
          <w:sz w:val="21"/>
        </w:rPr>
        <w:t>این مقاله یک تحلیل هنجاری-راهبردی است، نه سنجش آماری افکار عمومی ایران. اصطلاح‌هایی مانند «فرمول اعتماد»، «فرمول اقتدار حذف‌گرا»، «رهبر آشتی ملی» و «رهبر کاهش درد ملی» مفاهیم تحلیلی/پیشنهادی‌اند و نباید به‌عنوان واقعیت تجربی تثبیت‌شده درباره میزان حمایت اجتماعی از هیچ فرد یا جریان سیاسی خوانده شوند. برای داوری تجربی درباره حمایت شهروندان، به داده‌های معتبر و مستقل از داخل ایران نیاز است.</w:t>
      </w:r>
    </w:p>
    <w:sectPr w:rsidR="00FC693F" w:rsidRPr="0006063C" w:rsidSect="00034616">
      <w:headerReference w:type="default" r:id="rId9"/>
      <w:footerReference w:type="default" r:id="rId10"/>
      <w:pgSz w:w="12240" w:h="15840"/>
      <w:pgMar w:top="1134" w:right="1134"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Naskh Arabic" w:hAnsi="Noto Naskh Arabic" w:cs="Noto Naskh Arabic"/>
        <w:b w:val="0"/>
        <w:i w:val="0"/>
        <w:sz w:val="18"/>
      </w:rPr>
      <w:t>دکتر پیمان بخشایش | اوت ۲۰۲۶</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Noto Naskh Arabic" w:hAnsi="Noto Naskh Arabic" w:cs="Noto Naskh Arabic"/>
        <w:b w:val="0"/>
        <w:i w:val="0"/>
        <w:sz w:val="18"/>
      </w:rPr>
      <w:t>فرمول اعتماد: آشتی ملی، حقوق بشر و مشروعیت انتخاباتی در گذار ایران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