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Noto Naskh Arabic" w:hAnsi="Noto Naskh Arabic" w:eastAsia="Noto Naskh Arabic" w:cs="Noto Naskh Arabic"/>
          <w:b/>
          <w:i w:val="0"/>
          <w:sz w:val="44"/>
        </w:rPr>
        <w:t>سه نگرش عمده و یک راه‌حل برای رسیدن به سکولار دموکراسی در ایران</w:t>
      </w:r>
    </w:p>
    <w:p>
      <w:pPr>
        <w:jc w:val="center"/>
      </w:pPr>
      <w:r>
        <w:rPr>
          <w:rFonts w:ascii="Noto Naskh Arabic" w:hAnsi="Noto Naskh Arabic" w:eastAsia="Noto Naskh Arabic" w:cs="Noto Naskh Arabic"/>
          <w:b w:val="0"/>
          <w:i/>
          <w:sz w:val="28"/>
        </w:rPr>
        <w:t>مقاله‌ای تحلیلی درباره اپوزیسیون برانداز، میراث ۱۳۵۷ و امکان ائتلاف دموکراتیک</w:t>
      </w:r>
    </w:p>
    <w:p>
      <w:pPr>
        <w:jc w:val="center"/>
      </w:pPr>
      <w:r>
        <w:rPr>
          <w:rFonts w:ascii="Noto Naskh Arabic" w:hAnsi="Noto Naskh Arabic" w:eastAsia="Noto Naskh Arabic" w:cs="Noto Naskh Arabic"/>
          <w:b/>
          <w:i w:val="0"/>
          <w:sz w:val="26"/>
        </w:rPr>
        <w:t>دکتر پیمان بخشایش، جراح تراما، MD, PhD, MBA</w:t>
      </w:r>
    </w:p>
    <w:p>
      <w:pPr>
        <w:jc w:val="center"/>
      </w:pPr>
      <w:r>
        <w:rPr>
          <w:rFonts w:ascii="Noto Naskh Arabic" w:hAnsi="Noto Naskh Arabic" w:eastAsia="Noto Naskh Arabic" w:cs="Noto Naskh Arabic"/>
          <w:b w:val="0"/>
          <w:i w:val="0"/>
          <w:sz w:val="22"/>
        </w:rPr>
        <w:t>اوت ۲۰۲۶</w:t>
      </w:r>
    </w:p>
    <w:p/>
    <w:p>
      <w:pPr>
        <w:bidi w:val="1"/>
        <w:spacing w:before="240" w:after="100"/>
        <w:jc w:val="right"/>
      </w:pPr>
      <w:r>
        <w:rPr>
          <w:rFonts w:ascii="Noto Naskh Arabic" w:hAnsi="Noto Naskh Arabic" w:eastAsia="Noto Naskh Arabic" w:cs="Noto Naskh Arabic"/>
          <w:b/>
          <w:i w:val="0"/>
          <w:sz w:val="34"/>
        </w:rPr>
        <w:t>چکیده</w:t>
      </w:r>
    </w:p>
    <w:p>
      <w:pPr>
        <w:bidi w:val="1"/>
        <w:spacing w:before="0" w:after="120" w:line="300" w:lineRule="auto"/>
        <w:jc w:val="both"/>
      </w:pPr>
      <w:r>
        <w:rPr>
          <w:rFonts w:ascii="Noto Naskh Arabic" w:hAnsi="Noto Naskh Arabic" w:eastAsia="Noto Naskh Arabic" w:cs="Noto Naskh Arabic"/>
          <w:b w:val="0"/>
          <w:i w:val="0"/>
          <w:sz w:val="26"/>
        </w:rPr>
        <w:t>اپوزیسیون جمهوری اسلامی را نمی‌توان به یک دوگانه ساده «جمهوری‌خواه در برابر پادشاهی‌خواه» فروکاست. در درون هر دو اردوگاه، تفاوت‌های مهمی درباره منشأ مشروعیت سیاسی، نسبت با انقلاب ۱۳۵۷، جایگاه حقوق بشر، نقش اقتدار، نحوه انتقال قدرت و رابطه با نیروهای خارجی وجود دارد. این مقاله، با استفاده از روش «تیپ‌های آرمانی» در سنت جامعه‌شناسی ماکس وبر، سه نگرش تحلیلی را از یکدیگر جدا می‌کند: نخست، جمهوری‌خواهان دموکرات و سکولار که مشروعیت را عمدتاً از انتخابات آزاد، حقوق بشر و کثرت‌گرایی می‌گیرند؛ دوم، پادشاهی‌خواهان گذشته‌گرا یا اقتدارمحور که بازسازی اقتدار دولت و بازگشت به شکوه دوره پهلوی را محور اصلی می‌دانند و ممکن است نسبت به محدودیت‌های حقوق بشری بدبین باشند؛ و سوم، پهلوی‌گرایان عمل‌گرا که حمایت از رضا پهلوی را نه صرفاً بر مبنای نوستالژی یا وفاداری دودمانی، بلکه به‌عنوان راهی برای ایجاد یک ائتلاف فراگیر در دوران گذار توجیه می‌کنند. استدلال اصلی مقاله این است که راه پایدار به سکولار دموکراسی نه از حذف یکی از این اردوگاه‌ها، بلکه از ساختن یک «ائتلاف حداقلی دموکراتیک» می‌گذرد: ائتلافی مبتنی بر حقوق بشر، پلورالیسم سیاسی، جدایی نهاد دین از دولت، حاکمیت قانون، تمامیت ارضی، عدالت انتقالی و حق مردم برای تعیین شکل نهایی نظام سیاسی در انتخابات آزاد و رقابتی.</w:t>
      </w:r>
    </w:p>
    <w:p>
      <w:pPr>
        <w:bidi w:val="1"/>
        <w:spacing w:before="0" w:after="120" w:line="300" w:lineRule="auto"/>
        <w:jc w:val="right"/>
      </w:pPr>
      <w:r>
        <w:rPr>
          <w:rFonts w:ascii="Noto Naskh Arabic" w:hAnsi="Noto Naskh Arabic" w:eastAsia="Noto Naskh Arabic" w:cs="Noto Naskh Arabic"/>
          <w:b w:val="0"/>
          <w:i w:val="0"/>
          <w:sz w:val="26"/>
        </w:rPr>
        <w:t>واژگان کلیدی: ایران؛ سکولار دموکراسی؛ اپوزیسیون؛ جمهوری‌خواهی؛ پادشاهی‌خواهی؛ رضا پهلوی؛ حقوق بشر؛ گذار دموکراتیک؛ عدالت انتقالی؛ ائتلاف سیاسی.</w:t>
      </w:r>
    </w:p>
    <w:p>
      <w:pPr>
        <w:bidi w:val="1"/>
        <w:spacing w:before="240" w:after="100"/>
        <w:jc w:val="right"/>
      </w:pPr>
      <w:r>
        <w:rPr>
          <w:rFonts w:ascii="Noto Naskh Arabic" w:hAnsi="Noto Naskh Arabic" w:eastAsia="Noto Naskh Arabic" w:cs="Noto Naskh Arabic"/>
          <w:b/>
          <w:i w:val="0"/>
          <w:sz w:val="34"/>
        </w:rPr>
        <w:t>۱. مقدمه: مسئله اصلی، اختلاف بر سر «ایران پس از جمهوری اسلامی» است</w:t>
      </w:r>
    </w:p>
    <w:p>
      <w:pPr>
        <w:bidi w:val="1"/>
        <w:spacing w:before="0" w:after="120" w:line="300" w:lineRule="auto"/>
        <w:jc w:val="both"/>
      </w:pPr>
      <w:r>
        <w:rPr>
          <w:rFonts w:ascii="Noto Naskh Arabic" w:hAnsi="Noto Naskh Arabic" w:eastAsia="Noto Naskh Arabic" w:cs="Noto Naskh Arabic"/>
          <w:b w:val="0"/>
          <w:i w:val="0"/>
          <w:sz w:val="26"/>
        </w:rPr>
        <w:t>در بحث سیاسی ایرانیان، اختلاف فقط بر سر ضرورت یا عدم ضرورت عبور از جمهوری اسلامی نیست. بخش بزرگی از مخالفان برانداز در این نکته مشترک‌اند که نظام ولایت فقیه را اصلاح‌ناپذیر می‌دانند و خواهان جایگزینی آن با ساختاری سکولار و مبتنی بر رأی مردم هستند. اما به محض آن‌که بحث از «چگونگی گذار» و «نظم پس از گذار» آغاز می‌شود، شکاف‌های تاریخی و هویتی دوباره فعال می‌شوند: انقلاب ۱۳۵۷ چگونه باید ارزیابی شود؟ آیا دوره پهلوی را باید عمدتاً دوره دولت‌سازی و نوسازی دانست یا دوره‌ای که در آن محدودیت‌های جدی بر رقابت حزبی و آزادی سیاسی وجود داشت؟ آیا برای سرنگونی یک نظام اقتدارگرا می‌توان حقوق بشر را موقتاً در حاشیه گذاشت؟ چه کسی باید دوران انتقال را رهبری کند، و مشروعیت او از کجا می‌آید؟</w:t>
      </w:r>
    </w:p>
    <w:p>
      <w:pPr>
        <w:bidi w:val="1"/>
        <w:spacing w:before="0" w:after="120" w:line="300" w:lineRule="auto"/>
        <w:jc w:val="both"/>
      </w:pPr>
      <w:r>
        <w:rPr>
          <w:rFonts w:ascii="Noto Naskh Arabic" w:hAnsi="Noto Naskh Arabic" w:eastAsia="Noto Naskh Arabic" w:cs="Noto Naskh Arabic"/>
          <w:b w:val="0"/>
          <w:i w:val="0"/>
          <w:sz w:val="26"/>
        </w:rPr>
        <w:t>ادبیات علمی گذار دموکراتیک نشان می‌دهد که سقوط یک نظام اقتدارگرا به‌تنهایی به دموکراسی منتهی نمی‌شود. دموکراتیزاسیون نیازمند توافق بر قواعد بازی، پذیرش عدم قطعیت انتخابات، تضمین حقوق مخالفان و ایجاد نهادهایی است که قدرت را محدود کنند (O’Donnell &amp; Schmitter, 1986; Linz &amp; Stepan, 1996; Przeworski, 1991). از این منظر، مسئله ایران صرفاً «چه کسی جمهوری اسلامی را کنار می‌زند؟» نیست، بلکه «چه قواعدی مانع بازتولید اقتدارگرایی پس از آن می‌شود؟» نیز هست.</w:t>
      </w:r>
    </w:p>
    <w:p>
      <w:pPr>
        <w:bidi w:val="1"/>
        <w:spacing w:before="240" w:after="100"/>
        <w:jc w:val="right"/>
      </w:pPr>
      <w:r>
        <w:rPr>
          <w:rFonts w:ascii="Noto Naskh Arabic" w:hAnsi="Noto Naskh Arabic" w:eastAsia="Noto Naskh Arabic" w:cs="Noto Naskh Arabic"/>
          <w:b/>
          <w:i w:val="0"/>
          <w:sz w:val="34"/>
        </w:rPr>
        <w:t>۲. روش تحلیل: سه «تیپ آرمانی» نه سه حزب واقعی</w:t>
      </w:r>
    </w:p>
    <w:p>
      <w:pPr>
        <w:bidi w:val="1"/>
        <w:spacing w:before="0" w:after="120" w:line="300" w:lineRule="auto"/>
        <w:jc w:val="both"/>
      </w:pPr>
      <w:r>
        <w:rPr>
          <w:rFonts w:ascii="Noto Naskh Arabic" w:hAnsi="Noto Naskh Arabic" w:eastAsia="Noto Naskh Arabic" w:cs="Noto Naskh Arabic"/>
          <w:b w:val="0"/>
          <w:i w:val="0"/>
          <w:sz w:val="26"/>
        </w:rPr>
        <w:t>تقسیم‌بندی حاضر یک طبقه‌بندی آماری یا ادعای جامعه‌شناختی درباره همه مخالفان جمهوری اسلامی نیست. این سه گروه، «تیپ آرمانی» هستند؛ یعنی مدل‌های تحلیلی که برخی گرایش‌های پررنگ در گفتار سیاسی را برجسته می‌کنند تا تفاوت منطق‌های سیاسی روشن شود. در واقعیت، بسیاری از افراد میان این سه تیپ قرار می‌گیرند یا در طول زمان از یک نگرش به نگرشی دیگر حرکت می‌کنند. این احتیاط روش‌شناختی مهم است، زیرا برچسب‌زدن ساده به افراد می‌تواند همان پلورالیسمی را که هدف سکولار دموکراسی است، تضعیف کند (Weber, 1949).</w:t>
      </w:r>
    </w:p>
    <w:p>
      <w:pPr>
        <w:bidi w:val="1"/>
        <w:spacing w:before="240" w:after="100"/>
        <w:jc w:val="right"/>
      </w:pPr>
      <w:r>
        <w:rPr>
          <w:rFonts w:ascii="Noto Naskh Arabic" w:hAnsi="Noto Naskh Arabic" w:eastAsia="Noto Naskh Arabic" w:cs="Noto Naskh Arabic"/>
          <w:b/>
          <w:i w:val="0"/>
          <w:sz w:val="34"/>
        </w:rPr>
        <w:t>۳. نگرش نخست: جمهوری‌خواهان دموکرات و سکولار</w:t>
      </w:r>
    </w:p>
    <w:p>
      <w:pPr>
        <w:bidi w:val="1"/>
        <w:spacing w:before="0" w:after="120" w:line="300" w:lineRule="auto"/>
        <w:jc w:val="both"/>
      </w:pPr>
      <w:r>
        <w:rPr>
          <w:rFonts w:ascii="Noto Naskh Arabic" w:hAnsi="Noto Naskh Arabic" w:eastAsia="Noto Naskh Arabic" w:cs="Noto Naskh Arabic"/>
          <w:b w:val="0"/>
          <w:i w:val="0"/>
          <w:sz w:val="26"/>
        </w:rPr>
        <w:t>ریشه بخشی از این جریان به نیروهایی بازمی‌گردد که پیش از انقلاب ۱۳۵۷ علیه محدودیت فعالیت حزبی، زندانی‌کردن مخالفان، سانسور و تمرکز سیاسی اعتراض می‌کردند. تشکیل حزب رستاخیز در سال ۱۳۵۳/۱۹۷۵ و تلاش برای یکپارچه‌سازی اجباری حیات حزبی، نمونه‌ای از گرایش به تمرکز سیاسی در سال‌های پایانی حکومت محمدرضا شاه بود. در کنار توسعه اقتصادی، نوسازی اداری و گسترش آموزش، دستگاه امنیتی و ساختار سیاسی پهلوی نیز با محدودیت جدی رقابت سیاسی همراه بود؛ این دو واقعیت تاریخی را باید هم‌زمان دید، نه آن‌که یکی را برای اثبات دیگری حذف کرد (Abrahamian, 1982; Milani, 2011).</w:t>
      </w:r>
    </w:p>
    <w:p>
      <w:pPr>
        <w:bidi w:val="1"/>
        <w:spacing w:before="0" w:after="120" w:line="300" w:lineRule="auto"/>
        <w:jc w:val="both"/>
      </w:pPr>
      <w:r>
        <w:rPr>
          <w:rFonts w:ascii="Noto Naskh Arabic" w:hAnsi="Noto Naskh Arabic" w:eastAsia="Noto Naskh Arabic" w:cs="Noto Naskh Arabic"/>
          <w:b w:val="0"/>
          <w:i w:val="0"/>
          <w:sz w:val="26"/>
        </w:rPr>
        <w:t>بخشی از نیروهای ملی، چپ، سوسیال‌دموکرات، لیبرال و مذهبی در انقلاب ۱۳۵۷ شرکت کردند، اما تجربه استقرار جمهوری اسلامی نشان داد که ائتلاف «ضد شاه» فاقد توافق لازم بر قواعد دموکراتیک پس از پیروزی بود. بسیاری از نیروهایی که در انقلاب حضور داشتند بعدها اعدام، زندانی، سرکوب یا تبعید شدند؛ گروهی از سیاست کناره گرفتند و گروهی در خارج از کشور به اپوزیسیون جمهوری‌خواه پیوستند. در دهه‌های بعد نیز نسل‌های جدیدی از جمهوری‌خواهان شکل گرفتند که خود در انقلاب ۱۳۵۷ نقشی نداشتند و از ابتدا با جمهوری اسلامی مخالف بودند.</w:t>
      </w:r>
    </w:p>
    <w:p>
      <w:pPr>
        <w:bidi w:val="1"/>
        <w:spacing w:before="0" w:after="120" w:line="300" w:lineRule="auto"/>
        <w:jc w:val="both"/>
      </w:pPr>
      <w:r>
        <w:rPr>
          <w:rFonts w:ascii="Noto Naskh Arabic" w:hAnsi="Noto Naskh Arabic" w:eastAsia="Noto Naskh Arabic" w:cs="Noto Naskh Arabic"/>
          <w:b w:val="0"/>
          <w:i w:val="0"/>
          <w:sz w:val="26"/>
        </w:rPr>
        <w:t>منطق سیاسی این تیپ را می‌توان در چند اصل خلاصه کرد: مشروعیت از رأی آزاد شهروندان می‌آید؛ مذهب باید از ساختار دولت و قانون‌گذاری جدا باشد؛ حقوق سیاسی مخالفان نباید وابسته به وفاداری ایدئولوژیک آنان باشد؛ و شکل نهایی حکومت باید در یک فرایند آزاد و رقابتی تعیین شود. در این نگاه، سکولاریسم نه خصومت با دین، بلکه تبدیل دین به حوزه انتخاب و وجدان خصوصی و جلوگیری از برخورداری یک مذهب از امتیاز حقوقی و سیاسی است.</w:t>
      </w:r>
    </w:p>
    <w:p>
      <w:pPr>
        <w:bidi w:val="1"/>
        <w:spacing w:before="0" w:after="120" w:line="300" w:lineRule="auto"/>
        <w:jc w:val="both"/>
      </w:pPr>
      <w:r>
        <w:rPr>
          <w:rFonts w:ascii="Noto Naskh Arabic" w:hAnsi="Noto Naskh Arabic" w:eastAsia="Noto Naskh Arabic" w:cs="Noto Naskh Arabic"/>
          <w:b w:val="0"/>
          <w:i w:val="0"/>
          <w:sz w:val="26"/>
        </w:rPr>
        <w:t>نقطه قوت این نگرش، حساسیت آن نسبت به حقوق فردی، محدودکردن قدرت و خطر بازتولید استبداد است. نقطه ضعف بالقوه آن، پراکندگی سازمانی و دشواری تولید رهبری مشترک در لحظات بحرانی است. پژوهش‌های گذار نشان می‌دهند که نیروهای دموکراتیک اگر نتوانند بر سر یک حداقل مشترک به توافق برسند، ممکن است در برابر نیروهای منسجم‌تر - چه اقتدارگرا و چه انقلابی - قدرت چانه‌زنی خود را از دست بدهند (Linz &amp; Stepan, 1996; Diamond, 1999).</w:t>
      </w:r>
    </w:p>
    <w:p>
      <w:pPr>
        <w:bidi w:val="1"/>
        <w:spacing w:before="240" w:after="100"/>
        <w:jc w:val="right"/>
      </w:pPr>
      <w:r>
        <w:rPr>
          <w:rFonts w:ascii="Noto Naskh Arabic" w:hAnsi="Noto Naskh Arabic" w:eastAsia="Noto Naskh Arabic" w:cs="Noto Naskh Arabic"/>
          <w:b/>
          <w:i w:val="0"/>
          <w:sz w:val="34"/>
        </w:rPr>
        <w:t>۴. نگرش دوم: پادشاهی‌خواهی گذشته‌گرا و اقتدارمحور</w:t>
      </w:r>
    </w:p>
    <w:p>
      <w:pPr>
        <w:bidi w:val="1"/>
        <w:spacing w:before="0" w:after="120" w:line="300" w:lineRule="auto"/>
        <w:jc w:val="both"/>
      </w:pPr>
      <w:r>
        <w:rPr>
          <w:rFonts w:ascii="Noto Naskh Arabic" w:hAnsi="Noto Naskh Arabic" w:eastAsia="Noto Naskh Arabic" w:cs="Noto Naskh Arabic"/>
          <w:b w:val="0"/>
          <w:i w:val="0"/>
          <w:sz w:val="26"/>
        </w:rPr>
        <w:t>تیپ دوم از تجربه جمهوری اسلامی به نتیجه‌ای کاملاً متفاوت می‌رسد. در این روایت، ایران پیش از ۱۳۵۷ کشوری در مسیر نوسازی، توسعه، ارتش قدرتمند و افزایش اعتبار بین‌المللی بود و انقلاب عمدتاً نتیجه ائتلاف اسلام‌گرایان، چپ‌های رادیکال و مداخلات یا محاسبات غلط قدرت‌های خارجی تلقی می‌شود. برخی حاملان این نگرش، نقدهای حقوق بشری به حکومت پهلوی را اغراق‌شده یا ثانویه می‌دانند و بر این باورند که بخش مهمی از زندانیان سیاسی آن دوره در فعالیت‌های خشونت‌آمیز یا براندازانه مشارکت داشتند.</w:t>
      </w:r>
    </w:p>
    <w:p>
      <w:pPr>
        <w:bidi w:val="1"/>
        <w:spacing w:before="0" w:after="120" w:line="300" w:lineRule="auto"/>
        <w:jc w:val="both"/>
      </w:pPr>
      <w:r>
        <w:rPr>
          <w:rFonts w:ascii="Noto Naskh Arabic" w:hAnsi="Noto Naskh Arabic" w:eastAsia="Noto Naskh Arabic" w:cs="Noto Naskh Arabic"/>
          <w:b w:val="0"/>
          <w:i w:val="0"/>
          <w:sz w:val="26"/>
        </w:rPr>
        <w:t>در سطح روان‌شناسی سیاسی، این رویکرد را می‌توان با مفهوم «نوستالژی سیاسی» و واکنش به تجربه فروپاشی نظم توضیح داد: هنگامی که یک جامعه چند دهه بی‌ثباتی، تحقیر ملی، بحران اقتصادی یا خشونت دولتی را تجربه می‌کند، بخشی از شهروندان ممکن است گذشته را منظم‌تر، قابل پیش‌بینی‌تر و پرافتخارتر از آنچه واقعاً بوده به یاد آورند. نوستالژی لزوماً غیرعقلانی نیست؛ می‌تواند بر تجربه واقعی توسعه و امنیت بنا شده باشد، اما خطر آن در گزینشی‌کردن حافظه تاریخی و کم‌رنگ‌کردن هزینه‌های سیاسی همان دوره است.</w:t>
      </w:r>
    </w:p>
    <w:p>
      <w:pPr>
        <w:bidi w:val="1"/>
        <w:spacing w:before="0" w:after="120" w:line="300" w:lineRule="auto"/>
        <w:jc w:val="both"/>
      </w:pPr>
      <w:r>
        <w:rPr>
          <w:rFonts w:ascii="Noto Naskh Arabic" w:hAnsi="Noto Naskh Arabic" w:eastAsia="Noto Naskh Arabic" w:cs="Noto Naskh Arabic"/>
          <w:b w:val="0"/>
          <w:i w:val="0"/>
          <w:sz w:val="26"/>
        </w:rPr>
        <w:t>در این تیپ، «اقتدار» ارزشی محوری است: دولت باید توان اعمال قانون، حفظ مرزها، کنترل نیروهای مسلح و پایان‌دادن به آشوب را داشته باشد. این دغدغه از منظر علم سیاست مشروع است؛ هیچ دموکراسی بدون دولت کارآمد دوام نمی‌آورد. اما اگر اقتدار از حاکمیت قانون جدا شود، می‌تواند به «اقتدارگرایی بازسازنده» تبدیل شود؛ یعنی این تصور که برای نجات کشور ابتدا باید قدرت را بدون محدودیت در دست یک رهبر یا گروه متمرکز کرد و حقوق و رقابت سیاسی را به آینده موکول نمود. تجربه بسیاری از گذارهای سیاسی نشان داده است که حقوقی که در دوران انتقال تعلیق می‌شوند، الزاماً در مرحله بعد بازنمی‌گردند (Linz, 2000; Levitsky &amp; Ziblatt, 2018).</w:t>
      </w:r>
    </w:p>
    <w:p>
      <w:pPr>
        <w:bidi w:val="1"/>
        <w:spacing w:before="0" w:after="120" w:line="300" w:lineRule="auto"/>
        <w:jc w:val="both"/>
      </w:pPr>
      <w:r>
        <w:rPr>
          <w:rFonts w:ascii="Noto Naskh Arabic" w:hAnsi="Noto Naskh Arabic" w:eastAsia="Noto Naskh Arabic" w:cs="Noto Naskh Arabic"/>
          <w:b w:val="0"/>
          <w:i w:val="0"/>
          <w:sz w:val="26"/>
        </w:rPr>
        <w:t>بنابراین مشکل این نگرش نه علاقه به نظم، ارتش قوی یا غرور ملی، بلکه تبدیل این ارزش‌ها به جایگزینی برای حقوق بشر و پاسخ‌گویی است. سکولار دموکراسی به دولت قوی نیاز دارد، اما «دولت قوی» با «دولت بی‌مهار» یکسان نیست. قدرت نظامی و اداری باید در چارچوب قانون، دادگاه مستقل، مجلس منتخب و نظارت عمومی قرار گیرد.</w:t>
      </w:r>
    </w:p>
    <w:p>
      <w:pPr>
        <w:bidi w:val="1"/>
        <w:spacing w:before="240" w:after="100"/>
        <w:jc w:val="right"/>
      </w:pPr>
      <w:r>
        <w:rPr>
          <w:rFonts w:ascii="Noto Naskh Arabic" w:hAnsi="Noto Naskh Arabic" w:eastAsia="Noto Naskh Arabic" w:cs="Noto Naskh Arabic"/>
          <w:b/>
          <w:i w:val="0"/>
          <w:sz w:val="34"/>
        </w:rPr>
        <w:t>۵. نگرش سوم: پهلوی‌گرایی عمل‌گرا و ائتلاف‌محور</w:t>
      </w:r>
    </w:p>
    <w:p>
      <w:pPr>
        <w:bidi w:val="1"/>
        <w:spacing w:before="0" w:after="120" w:line="300" w:lineRule="auto"/>
        <w:jc w:val="both"/>
      </w:pPr>
      <w:r>
        <w:rPr>
          <w:rFonts w:ascii="Noto Naskh Arabic" w:hAnsi="Noto Naskh Arabic" w:eastAsia="Noto Naskh Arabic" w:cs="Noto Naskh Arabic"/>
          <w:b w:val="0"/>
          <w:i w:val="0"/>
          <w:sz w:val="26"/>
        </w:rPr>
        <w:t>تیپ سوم را می‌توان «پهلوی‌گرایی عمل‌گرا» نامید. در این نگاه، حمایت از رضا پهلوی الزاماً به معنای داوری مثبت درباره همه ابعاد حکومت رضاشاه یا محمدرضا شاه نیست و حتی الزاماً به معنای ترجیح نهایی پادشاهی بر جمهوری نیز نیست. استدلال اصلی آن عملی است: در وضعیت کنونی، رضا پهلوی یکی از شناخته‌شده‌ترین چهره‌های مخالف جمهوری اسلامی است، شبکه وسیعی از هواداران دارد، و می‌تواند به‌عنوان یک نقطه تمرکز برای هماهنگی بخشی از اپوزیسیون عمل کند.</w:t>
      </w:r>
    </w:p>
    <w:p>
      <w:pPr>
        <w:bidi w:val="1"/>
        <w:spacing w:before="0" w:after="120" w:line="300" w:lineRule="auto"/>
        <w:jc w:val="both"/>
      </w:pPr>
      <w:r>
        <w:rPr>
          <w:rFonts w:ascii="Noto Naskh Arabic" w:hAnsi="Noto Naskh Arabic" w:eastAsia="Noto Naskh Arabic" w:cs="Noto Naskh Arabic"/>
          <w:b w:val="0"/>
          <w:i w:val="0"/>
          <w:sz w:val="26"/>
        </w:rPr>
        <w:t>در مواد رسمی منتشرشده از سوی رضا پهلوی در سال ۲۰۲۶، بر گذار به «حکومت ملی، سکولار و دموکراتیک»، برابری حقوقی و سیاسی، و عدالت انتقالی تأکید شده است. در عین حال، منتقدان همچنان درباره میزان نمایندگی او در داخل ایران، نقش حمایت خارجی و توان او برای ایجاد ائتلاف پایدار پرسش‌هایی مطرح می‌کنند. این اختلاف دیدگاه خود مؤید آن است که مشروعیت در یک گذار دموکراتیک نباید صرفاً ادعایی یا موروثی باشد؛ باید در نهایت از رضایت آزاد شهروندان و سازوکارهای رقابتی به دست آید (Reza Pahlavi, 2026; Reuters, 2026; Associated Press, 2026).</w:t>
      </w:r>
    </w:p>
    <w:p>
      <w:pPr>
        <w:bidi w:val="1"/>
        <w:spacing w:before="0" w:after="120" w:line="300" w:lineRule="auto"/>
        <w:jc w:val="both"/>
      </w:pPr>
      <w:r>
        <w:rPr>
          <w:rFonts w:ascii="Noto Naskh Arabic" w:hAnsi="Noto Naskh Arabic" w:eastAsia="Noto Naskh Arabic" w:cs="Noto Naskh Arabic"/>
          <w:b w:val="0"/>
          <w:i w:val="0"/>
          <w:sz w:val="26"/>
        </w:rPr>
        <w:t>پهلوی‌گرایی عمل‌گرا می‌گوید فردی که تا دیروز منتقد پهلوی بوده است، اگر امروز به این نتیجه برسد که رضا پهلوی می‌تواند به روندی برای برقراری انتخابات آزاد، جدایی دین و دولت، حقوق برابر شهروندان، تمامیت ارضی و پلورالیسم کمک کند، برای همکاری نیازی به بازنویسی گذشته خود ندارد. به همین ترتیب، هوادار پادشاهی نیز برای همکاری با جمهوری‌خواه دموکرات لازم نیست از هویت سیاسی خود دست بکشد. توافق باید درباره «قواعد مشترک دوران گذار» باشد، نه درباره یک حافظه تاریخی واحد.</w:t>
      </w:r>
    </w:p>
    <w:p>
      <w:pPr>
        <w:bidi w:val="1"/>
        <w:spacing w:before="0" w:after="120" w:line="300" w:lineRule="auto"/>
        <w:jc w:val="both"/>
      </w:pPr>
      <w:r>
        <w:rPr>
          <w:rFonts w:ascii="Noto Naskh Arabic" w:hAnsi="Noto Naskh Arabic" w:eastAsia="Noto Naskh Arabic" w:cs="Noto Naskh Arabic"/>
          <w:b w:val="0"/>
          <w:i w:val="0"/>
          <w:sz w:val="26"/>
        </w:rPr>
        <w:t>مزیت این نگرش، کاهش هزینه شکاف میان جمهوری‌خواهان و پادشاهی‌خواهان است. ریسک آن، شخصی‌شدن بیش از حد سیاست است: اگر ائتلاف به جای اصول و نهادها بر یک چهره متکی شود، اختلاف بر سر آن فرد می‌تواند کل پروژه دموکراتیک را شکننده کند. به همین دلیل، حتی یک رهبر انتقالی محبوب باید خود را به قواعد محدودکننده قدرت، زمان‌بندی انتقال و رقابت آزاد متعهد سازد.</w:t>
      </w:r>
    </w:p>
    <w:p>
      <w:pPr>
        <w:bidi w:val="1"/>
        <w:spacing w:before="240" w:after="100"/>
        <w:jc w:val="right"/>
      </w:pPr>
      <w:r>
        <w:rPr>
          <w:rFonts w:ascii="Noto Naskh Arabic" w:hAnsi="Noto Naskh Arabic" w:eastAsia="Noto Naskh Arabic" w:cs="Noto Naskh Arabic"/>
          <w:b/>
          <w:i w:val="0"/>
          <w:sz w:val="34"/>
        </w:rPr>
        <w:t>۶. تفاوت محوری نگرش دوم و سوم: «اقتدار بدون قید» در برابر «اقتدار قانون‌مند»</w:t>
      </w:r>
    </w:p>
    <w:p>
      <w:pPr>
        <w:bidi w:val="1"/>
        <w:spacing w:before="0" w:after="120" w:line="300" w:lineRule="auto"/>
        <w:jc w:val="both"/>
      </w:pPr>
      <w:r>
        <w:rPr>
          <w:rFonts w:ascii="Noto Naskh Arabic" w:hAnsi="Noto Naskh Arabic" w:eastAsia="Noto Naskh Arabic" w:cs="Noto Naskh Arabic"/>
          <w:b w:val="0"/>
          <w:i w:val="0"/>
          <w:sz w:val="26"/>
        </w:rPr>
        <w:t>مرز اصلی میان پادشاهی‌خواهی اقتدارمحور و پهلوی‌گرایی عمل‌گرا در خودِ حمایت از رضا پهلوی نیست؛ در معنایی است که به رهبری او داده می‌شود. تیپ دوم ممکن است از او انتظار داشته باشد که همانند تصویری اسطوره‌ای از رضاشاه، با قدرت متمرکز و تصمیم‌های سریع نظم را بازگرداند. تیپ سوم، در مقابل، می‌کوشد رهبری دوران گذار را با حقوق بشر و محدودیت نهادی پیوند دهد.</w:t>
      </w:r>
    </w:p>
    <w:p>
      <w:pPr>
        <w:bidi w:val="1"/>
        <w:spacing w:before="0" w:after="120" w:line="300" w:lineRule="auto"/>
        <w:jc w:val="both"/>
      </w:pPr>
      <w:r>
        <w:rPr>
          <w:rFonts w:ascii="Noto Naskh Arabic" w:hAnsi="Noto Naskh Arabic" w:eastAsia="Noto Naskh Arabic" w:cs="Noto Naskh Arabic"/>
          <w:b w:val="0"/>
          <w:i w:val="0"/>
          <w:sz w:val="26"/>
        </w:rPr>
        <w:t>از منظر دموکراتیک، رهبری انتقالی موفق باید همزمان دو توانایی ظاهراً متضاد داشته باشد: نخست، توان تصمیم‌گیری و حفظ انسجام دولت در شرایط بحرانی؛ دوم، توان خودمحدودسازی و پذیرفتن این اصل که مخالف سیاسی حق دارد فردا در انتخابات علیه همان رهبر رقابت کند. این همان تفاوت میان «اقتدار» و «اقتدارگرایی» است. نلسون ماندلا معمولاً نمونه رهبری ذکر می‌شود که سرمایه نمادین و مشروعیت شخصی بالایی داشت، اما آن را در جهت نهادسازی، آشتی و رقابت سیاسی هدایت کرد؛ با این حال هیچ الگوی تاریخی را نمی‌توان بدون توجه به تفاوت‌های ساختاری مستقیماً به ایران منتقل کرد.</w:t>
      </w:r>
    </w:p>
    <w:p>
      <w:pPr>
        <w:bidi w:val="1"/>
        <w:spacing w:before="240" w:after="100"/>
        <w:jc w:val="right"/>
      </w:pPr>
      <w:r>
        <w:rPr>
          <w:rFonts w:ascii="Noto Naskh Arabic" w:hAnsi="Noto Naskh Arabic" w:eastAsia="Noto Naskh Arabic" w:cs="Noto Naskh Arabic"/>
          <w:b/>
          <w:i w:val="0"/>
          <w:sz w:val="34"/>
        </w:rPr>
        <w:t>۷. یک راه‌حل: ائتلاف حداقلی دموکراتیک برای دوران گذار</w:t>
      </w:r>
    </w:p>
    <w:p>
      <w:pPr>
        <w:bidi w:val="1"/>
        <w:spacing w:before="0" w:after="120" w:line="300" w:lineRule="auto"/>
        <w:jc w:val="both"/>
      </w:pPr>
      <w:r>
        <w:rPr>
          <w:rFonts w:ascii="Noto Naskh Arabic" w:hAnsi="Noto Naskh Arabic" w:eastAsia="Noto Naskh Arabic" w:cs="Noto Naskh Arabic"/>
          <w:b w:val="0"/>
          <w:i w:val="0"/>
          <w:sz w:val="26"/>
        </w:rPr>
        <w:t>اگر هدف واقعی سکولار دموکراسی باشد، راه‌حل نه در پاک‌سازی اپوزیسیون از جمهوری‌خواهان است و نه در حذف پادشاهی‌خواهان از میدان. راه‌حل، تشکیل ائتلافی است که اعضای آن درباره شکل نهایی نظام اختلاف داشته باشند اما درباره قواعد رسیدن به آن توافق کنند. ادبیات دموکراتیزاسیون نشان می‌دهد که «پیمان‌های سیاسی» زمانی مفیدند که بازیگران رقیب را به قواعد مشترک متعهد کنند، هزینه حذف متقابل را بالا ببرند و عدم قطعیت انتخابات را قابل تحمل سازند (O’Donnell &amp; Schmitter, 1986; Przeworski, 1991).</w:t>
      </w:r>
    </w:p>
    <w:p>
      <w:pPr>
        <w:bidi w:val="1"/>
        <w:spacing w:before="0" w:after="120" w:line="300" w:lineRule="auto"/>
        <w:jc w:val="both"/>
      </w:pPr>
      <w:r>
        <w:rPr>
          <w:rFonts w:ascii="Noto Naskh Arabic" w:hAnsi="Noto Naskh Arabic" w:eastAsia="Noto Naskh Arabic" w:cs="Noto Naskh Arabic"/>
          <w:b w:val="0"/>
          <w:i w:val="0"/>
          <w:sz w:val="26"/>
        </w:rPr>
        <w:t>این ائتلاف حداقلی می‌تواند بر هشت تعهد روشن بنا شود:</w:t>
      </w:r>
    </w:p>
    <w:p>
      <w:pPr>
        <w:bidi w:val="1"/>
        <w:spacing w:after="60"/>
        <w:ind w:left="216"/>
        <w:jc w:val="both"/>
      </w:pPr>
      <w:r>
        <w:rPr>
          <w:rFonts w:ascii="Noto Naskh Arabic" w:hAnsi="Noto Naskh Arabic" w:eastAsia="Noto Naskh Arabic" w:cs="Noto Naskh Arabic"/>
          <w:b w:val="0"/>
          <w:i w:val="0"/>
          <w:sz w:val="25"/>
        </w:rPr>
        <w:t>• جدایی نهاد دین از دولت و برابری همه باورها و ناباوری‌ها در برابر قانون؛</w:t>
      </w:r>
    </w:p>
    <w:p>
      <w:pPr>
        <w:bidi w:val="1"/>
        <w:spacing w:after="60"/>
        <w:ind w:left="216"/>
        <w:jc w:val="both"/>
      </w:pPr>
      <w:r>
        <w:rPr>
          <w:rFonts w:ascii="Noto Naskh Arabic" w:hAnsi="Noto Naskh Arabic" w:eastAsia="Noto Naskh Arabic" w:cs="Noto Naskh Arabic"/>
          <w:b w:val="0"/>
          <w:i w:val="0"/>
          <w:sz w:val="25"/>
        </w:rPr>
        <w:t>• آزادی فوری زندانیان سیاسی و جرم‌زدایی از فعالیت مسالمت‌آمیز سیاسی؛</w:t>
      </w:r>
    </w:p>
    <w:p>
      <w:pPr>
        <w:bidi w:val="1"/>
        <w:spacing w:after="60"/>
        <w:ind w:left="216"/>
        <w:jc w:val="both"/>
      </w:pPr>
      <w:r>
        <w:rPr>
          <w:rFonts w:ascii="Noto Naskh Arabic" w:hAnsi="Noto Naskh Arabic" w:eastAsia="Noto Naskh Arabic" w:cs="Noto Naskh Arabic"/>
          <w:b w:val="0"/>
          <w:i w:val="0"/>
          <w:sz w:val="25"/>
        </w:rPr>
        <w:t>• پذیرش اعلامیه جهانی حقوق بشر و میثاق‌های اصلی حقوق مدنی و سیاسی به‌عنوان کف حقوقی دوران گذار؛</w:t>
      </w:r>
    </w:p>
    <w:p>
      <w:pPr>
        <w:bidi w:val="1"/>
        <w:spacing w:after="60"/>
        <w:ind w:left="216"/>
        <w:jc w:val="both"/>
      </w:pPr>
      <w:r>
        <w:rPr>
          <w:rFonts w:ascii="Noto Naskh Arabic" w:hAnsi="Noto Naskh Arabic" w:eastAsia="Noto Naskh Arabic" w:cs="Noto Naskh Arabic"/>
          <w:b w:val="0"/>
          <w:i w:val="0"/>
          <w:sz w:val="25"/>
        </w:rPr>
        <w:t>• حفظ تمامیت ارضی ایران همراه با تضمین برابری شهروندی، حقوق فرهنگی و زبانی و منع تبعیض قومی و مذهبی؛</w:t>
      </w:r>
    </w:p>
    <w:p>
      <w:pPr>
        <w:bidi w:val="1"/>
        <w:spacing w:after="60"/>
        <w:ind w:left="216"/>
        <w:jc w:val="both"/>
      </w:pPr>
      <w:r>
        <w:rPr>
          <w:rFonts w:ascii="Noto Naskh Arabic" w:hAnsi="Noto Naskh Arabic" w:eastAsia="Noto Naskh Arabic" w:cs="Noto Naskh Arabic"/>
          <w:b w:val="0"/>
          <w:i w:val="0"/>
          <w:sz w:val="25"/>
        </w:rPr>
        <w:t>• استقلال قوه قضاییه، منع شکنجه، دادرسی عادلانه و پاسخ‌گویی نیروهای نظامی و امنیتی؛</w:t>
      </w:r>
    </w:p>
    <w:p>
      <w:pPr>
        <w:bidi w:val="1"/>
        <w:spacing w:after="60"/>
        <w:ind w:left="216"/>
        <w:jc w:val="both"/>
      </w:pPr>
      <w:r>
        <w:rPr>
          <w:rFonts w:ascii="Noto Naskh Arabic" w:hAnsi="Noto Naskh Arabic" w:eastAsia="Noto Naskh Arabic" w:cs="Noto Naskh Arabic"/>
          <w:b w:val="0"/>
          <w:i w:val="0"/>
          <w:sz w:val="25"/>
        </w:rPr>
        <w:t>• عدالت انتقالی مبتنی بر حقیقت‌یابی، دادرسی فردی و منع مجازات جمعی یا انتقام‌گیری سیاسی؛</w:t>
      </w:r>
    </w:p>
    <w:p>
      <w:pPr>
        <w:bidi w:val="1"/>
        <w:spacing w:after="60"/>
        <w:ind w:left="216"/>
        <w:jc w:val="both"/>
      </w:pPr>
      <w:r>
        <w:rPr>
          <w:rFonts w:ascii="Noto Naskh Arabic" w:hAnsi="Noto Naskh Arabic" w:eastAsia="Noto Naskh Arabic" w:cs="Noto Naskh Arabic"/>
          <w:b w:val="0"/>
          <w:i w:val="0"/>
          <w:sz w:val="25"/>
        </w:rPr>
        <w:t>• تضمین آزادی رسانه، احزاب، اتحادیه‌ها و سازمان‌های مدنی در دوره انتقال؛</w:t>
      </w:r>
    </w:p>
    <w:p>
      <w:pPr>
        <w:bidi w:val="1"/>
        <w:spacing w:after="60"/>
        <w:ind w:left="216"/>
        <w:jc w:val="both"/>
      </w:pPr>
      <w:r>
        <w:rPr>
          <w:rFonts w:ascii="Noto Naskh Arabic" w:hAnsi="Noto Naskh Arabic" w:eastAsia="Noto Naskh Arabic" w:cs="Noto Naskh Arabic"/>
          <w:b w:val="0"/>
          <w:i w:val="0"/>
          <w:sz w:val="25"/>
        </w:rPr>
        <w:t>• تعیین شکل نهایی نظام سیاسی - جمهوری یا پادشاهی مشروطه یا هر گزینه دموکراتیک دیگر - از طریق فرایندی آزاد، شفاف و رقابتی که نتیجه آن برای همه الزام‌آور باشد.</w:t>
      </w:r>
    </w:p>
    <w:p>
      <w:pPr>
        <w:bidi w:val="1"/>
        <w:spacing w:before="0" w:after="120" w:line="300" w:lineRule="auto"/>
        <w:jc w:val="both"/>
      </w:pPr>
      <w:r>
        <w:rPr>
          <w:rFonts w:ascii="Noto Naskh Arabic" w:hAnsi="Noto Naskh Arabic" w:eastAsia="Noto Naskh Arabic" w:cs="Noto Naskh Arabic"/>
          <w:b w:val="0"/>
          <w:i w:val="0"/>
          <w:sz w:val="26"/>
        </w:rPr>
        <w:t>چنین چارچوبی دو نگرانی اصلی را همزمان پاسخ می‌دهد. به جمهوری‌خواهان اطمینان می‌دهد که بازگشت یک نام تاریخی به معنای بازگشت ساختار اقتدارگرای گذشته نیست؛ و به پادشاهی‌خواهان اطمینان می‌دهد که مخالفت با جمهوری اسلامی قرار نیست در کشمکش‌های بی‌پایان نظری و حزبی فلج شود. در این چارچوب، رضا پهلوی - اگر بخواهد و اگر بتواند اعتماد طیف وسیعی را کسب کند - می‌تواند به‌عنوان یکی از مهم‌ترین چهره‌های هماهنگ‌کننده یا رهبران دوره گذار مطرح باشد، اما نقش او باید با تعهدات حقوقی، زمان‌بندی روشن و حق مردم برای تأیید یا رد هر ساختار سیاسی همراه شود.</w:t>
      </w:r>
    </w:p>
    <w:p>
      <w:pPr>
        <w:bidi w:val="1"/>
        <w:spacing w:before="240" w:after="100"/>
        <w:jc w:val="right"/>
      </w:pPr>
      <w:r>
        <w:rPr>
          <w:rFonts w:ascii="Noto Naskh Arabic" w:hAnsi="Noto Naskh Arabic" w:eastAsia="Noto Naskh Arabic" w:cs="Noto Naskh Arabic"/>
          <w:b/>
          <w:i w:val="0"/>
          <w:sz w:val="34"/>
        </w:rPr>
        <w:t>۸. حقوق بشر مزاحم پیروزی نیست؛ شرط جلوگیری از شکستِ پس از پیروزی است</w:t>
      </w:r>
    </w:p>
    <w:p>
      <w:pPr>
        <w:bidi w:val="1"/>
        <w:spacing w:before="0" w:after="120" w:line="300" w:lineRule="auto"/>
        <w:jc w:val="both"/>
      </w:pPr>
      <w:r>
        <w:rPr>
          <w:rFonts w:ascii="Noto Naskh Arabic" w:hAnsi="Noto Naskh Arabic" w:eastAsia="Noto Naskh Arabic" w:cs="Noto Naskh Arabic"/>
          <w:b w:val="0"/>
          <w:i w:val="0"/>
          <w:sz w:val="26"/>
        </w:rPr>
        <w:t>یکی از خطرناک‌ترین گزاره‌ها در سیاست انقلابی این است که «فعلاً پیروز شویم، بعداً درباره حقوق بشر صحبت می‌کنیم». حقوق بشر فقط موضوع اخلاقی نیست؛ یک فناوری نهادی برای جلوگیری از چرخه انتقام و بازتولید خشونت است. اگر مخالف امروز بداند که در نظام فردا نیز حق دفاع، محاکمه عادلانه، بیان آزاد و مشارکت سیاسی خواهد داشت، انگیزه بیشتری برای پذیرش قواعد انتقال دارد. برعکس، اگر گروهی احساس کند پیروزی رقیب به معنای حذف فیزیکی یا سیاسی اوست، انگیزه برای مصالحه کاهش می‌یابد و احتمال خشونت بالا می‌رود.</w:t>
      </w:r>
    </w:p>
    <w:p>
      <w:pPr>
        <w:bidi w:val="1"/>
        <w:spacing w:before="0" w:after="120" w:line="300" w:lineRule="auto"/>
        <w:jc w:val="both"/>
      </w:pPr>
      <w:r>
        <w:rPr>
          <w:rFonts w:ascii="Noto Naskh Arabic" w:hAnsi="Noto Naskh Arabic" w:eastAsia="Noto Naskh Arabic" w:cs="Noto Naskh Arabic"/>
          <w:b w:val="0"/>
          <w:i w:val="0"/>
          <w:sz w:val="26"/>
        </w:rPr>
        <w:t>پژوهش درباره مقاومت مدنی نیز نشان می‌دهد جنبش‌هایی که مشارکت گسترده‌تر، انضباط غیرخشونت‌آمیز و توان جذب گروه‌های مختلف دارند، در مقایسه با مبارزات صرفاً مسلحانه شانس بیشتری برای ایجاد گذارهای پایدار و دموکراتیک دارند (Chenoweth &amp; Stephan, 2011). این به معنای انکار حق دفاع از خود در برابر خشونت دولتی نیست؛ بلکه به این معناست که مشروعیت و ظرفیت بسیج سیاسی در بلندمدت از ائتلاف اجتماعی گسترده‌تر به دست می‌آید، نه از رادیکال‌سازی هویت‌های درون اپوزیسیون.</w:t>
      </w:r>
    </w:p>
    <w:p>
      <w:pPr>
        <w:bidi w:val="1"/>
        <w:spacing w:before="240" w:after="100"/>
        <w:jc w:val="right"/>
      </w:pPr>
      <w:r>
        <w:rPr>
          <w:rFonts w:ascii="Noto Naskh Arabic" w:hAnsi="Noto Naskh Arabic" w:eastAsia="Noto Naskh Arabic" w:cs="Noto Naskh Arabic"/>
          <w:b/>
          <w:i w:val="0"/>
          <w:sz w:val="34"/>
        </w:rPr>
        <w:t>۹. عدالت انتقالی: نه فراموشی، نه انتقام</w:t>
      </w:r>
    </w:p>
    <w:p>
      <w:pPr>
        <w:bidi w:val="1"/>
        <w:spacing w:before="0" w:after="120" w:line="300" w:lineRule="auto"/>
        <w:jc w:val="both"/>
      </w:pPr>
      <w:r>
        <w:rPr>
          <w:rFonts w:ascii="Noto Naskh Arabic" w:hAnsi="Noto Naskh Arabic" w:eastAsia="Noto Naskh Arabic" w:cs="Noto Naskh Arabic"/>
          <w:b w:val="0"/>
          <w:i w:val="0"/>
          <w:sz w:val="26"/>
        </w:rPr>
        <w:t>اتحاد دموکراتیک نباید به معنای فراموش‌کردن قربانیان جمهوری اسلامی باشد. شکنجه، اعدام، کشتار، فساد سیستماتیک و نقض گسترده حقوق شهروندان نیازمند حقیقت‌یابی و پاسخ‌گویی‌اند. اما عدالت انتقالی با انتقام جمعی تفاوت دارد. مسئولیت باید فردی باشد؛ هر متهم حق دفاع و دادگاه مستقل داشته باشد؛ و عضویت اداری یا حتی نظامی به‌تنهایی نباید جایگزین اثبات جرم شود. ادبیات عدالت انتقالی نشان می‌دهد که ترکیب حقیقت‌یابی، پیگرد حقوقیِ جرائم سنگین، اصلاح نهادها و جبران خسارت قربانیان می‌تواند به آشتی پایدار کمک کند (Teitel, 2000; Sikkink, 2011).</w:t>
      </w:r>
    </w:p>
    <w:p>
      <w:pPr>
        <w:bidi w:val="1"/>
        <w:spacing w:before="0" w:after="120" w:line="300" w:lineRule="auto"/>
        <w:jc w:val="both"/>
      </w:pPr>
      <w:r>
        <w:rPr>
          <w:rFonts w:ascii="Noto Naskh Arabic" w:hAnsi="Noto Naskh Arabic" w:eastAsia="Noto Naskh Arabic" w:cs="Noto Naskh Arabic"/>
          <w:b w:val="0"/>
          <w:i w:val="0"/>
          <w:sz w:val="26"/>
        </w:rPr>
        <w:t>در این نقطه، پهلوی‌گرایی عمل‌گرا می‌تواند نقش پل را ایفا کند: به جای تصویر «تسویه حساب با شورشیان ۱۳۵۷» یا «بازگشت برای انتقام»، می‌توان از زبان آشتی ملی، بازسازی دولت و عدالت قانون‌مند سخن گفت. چنین زبانی نه ضعف، بلکه ابزاری برای جداکردن بدنه اداری و نظامی از هسته سرکوب و کاهش هزینه فروپاشی دولت است.</w:t>
      </w:r>
    </w:p>
    <w:p>
      <w:pPr>
        <w:bidi w:val="1"/>
        <w:spacing w:before="240" w:after="100"/>
        <w:jc w:val="right"/>
      </w:pPr>
      <w:r>
        <w:rPr>
          <w:rFonts w:ascii="Noto Naskh Arabic" w:hAnsi="Noto Naskh Arabic" w:eastAsia="Noto Naskh Arabic" w:cs="Noto Naskh Arabic"/>
          <w:b/>
          <w:i w:val="0"/>
          <w:sz w:val="34"/>
        </w:rPr>
        <w:t>۱۰. نتیجه‌گیری</w:t>
      </w:r>
    </w:p>
    <w:p>
      <w:pPr>
        <w:bidi w:val="1"/>
        <w:spacing w:before="0" w:after="120" w:line="300" w:lineRule="auto"/>
        <w:jc w:val="both"/>
      </w:pPr>
      <w:r>
        <w:rPr>
          <w:rFonts w:ascii="Noto Naskh Arabic" w:hAnsi="Noto Naskh Arabic" w:eastAsia="Noto Naskh Arabic" w:cs="Noto Naskh Arabic"/>
          <w:b w:val="0"/>
          <w:i w:val="0"/>
          <w:sz w:val="26"/>
        </w:rPr>
        <w:t>سه نگرش مورد بحث، سه پاسخ متفاوت به یک پرسش مشترک‌اند: چگونه می‌توان از جمهوری اسلامی عبور کرد و ایران را دوباره به کشوری قانون‌مند، مدرن و پایدار تبدیل نمود؟ جمهوری‌خواه دموکرات بیش از هر چیز از بازتولید استبداد می‌ترسد؛ پادشاهی‌خواه اقتدارمحور بیش از هر چیز از فروپاشی نظم و ضعف ملی؛ و پهلوی‌گرای عمل‌گرا بیش از هر چیز از پراکندگی اپوزیسیون و از دست رفتن فرصت تاریخی. هر سه نگرانی بخشی از واقعیت را منعکس می‌کنند، اما هیچ‌کدام به تنهایی برای ساختن یک نظام دموکراتیک کافی نیست.</w:t>
      </w:r>
    </w:p>
    <w:p>
      <w:pPr>
        <w:bidi w:val="1"/>
        <w:spacing w:before="0" w:after="120" w:line="300" w:lineRule="auto"/>
        <w:jc w:val="both"/>
      </w:pPr>
      <w:r>
        <w:rPr>
          <w:rFonts w:ascii="Noto Naskh Arabic" w:hAnsi="Noto Naskh Arabic" w:eastAsia="Noto Naskh Arabic" w:cs="Noto Naskh Arabic"/>
          <w:b w:val="0"/>
          <w:i w:val="0"/>
          <w:sz w:val="26"/>
        </w:rPr>
        <w:t>راه‌حل، تبدیل رقابت هویتی به رقابت نهادی است. جمهوری‌خواه و پادشاهی‌خواه لازم نیست درباره تاریخ یکسان فکر کنند؛ لازم است درباره حق یکدیگر برای حضور در آینده توافق کنند. رضا پهلوی نیز اگر بخواهد نقشی فراتر از پایگاه سنتی پادشاهی‌خواهان داشته باشد، بیشترین ظرفیت ائتلاف‌سازی را زمانی خواهد داشت که نه به‌عنوان رهبر انتقام، بلکه به‌عنوان چهره‌ای متعهد به حقوق بشر، آشتی ملی، پلورالیسم، انتخابات آزاد و انتقال محدود و قانون‌مند قدرت دیده شود. در چنین الگویی، حتی اختلاف بر سر جمهوری یا پادشاهی به تهدید موجودیتی تبدیل نمی‌شود؛ به موضوعی برای صندوق رأی تبدیل می‌شود.</w:t>
      </w:r>
    </w:p>
    <w:p>
      <w:pPr>
        <w:bidi w:val="1"/>
        <w:spacing w:before="0" w:after="120" w:line="300" w:lineRule="auto"/>
        <w:jc w:val="both"/>
      </w:pPr>
      <w:r>
        <w:rPr>
          <w:rFonts w:ascii="Noto Naskh Arabic" w:hAnsi="Noto Naskh Arabic" w:eastAsia="Noto Naskh Arabic" w:cs="Noto Naskh Arabic"/>
          <w:b w:val="0"/>
          <w:i w:val="0"/>
          <w:sz w:val="26"/>
        </w:rPr>
        <w:t>سکولار دموکراسی زمانی آغاز می‌شود که مخالفان امروز بپذیرند رقیب سیاسی‌شان نیز صاحب ایران است. پیروزی واقعی نه فقط پایان جمهوری اسلامی، بلکه ساختن نظمی است که در آن هیچ گروهی نتواند به نام انقلاب، سلطنت، دین، امنیت یا ملت، حقوق بنیادین دیگری را از او سلب کند.</w:t>
      </w:r>
    </w:p>
    <w:p>
      <w:pPr>
        <w:bidi w:val="1"/>
        <w:spacing w:before="240" w:after="100"/>
        <w:jc w:val="right"/>
      </w:pPr>
      <w:r>
        <w:rPr>
          <w:rFonts w:ascii="Noto Naskh Arabic" w:hAnsi="Noto Naskh Arabic" w:eastAsia="Noto Naskh Arabic" w:cs="Noto Naskh Arabic"/>
          <w:b/>
          <w:i w:val="0"/>
          <w:sz w:val="34"/>
        </w:rPr>
        <w:t>منابع</w:t>
      </w:r>
    </w:p>
    <w:p>
      <w:pPr>
        <w:spacing w:after="60"/>
        <w:ind w:hanging="288" w:left="288"/>
        <w:jc w:val="left"/>
      </w:pPr>
      <w:r>
        <w:rPr>
          <w:rFonts w:ascii="DejaVu Sans" w:hAnsi="DejaVu Sans" w:eastAsia="DejaVu Sans" w:cs="DejaVu Sans"/>
          <w:b w:val="0"/>
          <w:i w:val="0"/>
          <w:sz w:val="19"/>
        </w:rPr>
        <w:t>Abrahamian, E. (1982). Iran Between Two Revolutions. Princeton University Press.</w:t>
      </w:r>
    </w:p>
    <w:p>
      <w:pPr>
        <w:spacing w:after="60"/>
        <w:ind w:hanging="288" w:left="288"/>
        <w:jc w:val="left"/>
      </w:pPr>
      <w:r>
        <w:rPr>
          <w:rFonts w:ascii="DejaVu Sans" w:hAnsi="DejaVu Sans" w:eastAsia="DejaVu Sans" w:cs="DejaVu Sans"/>
          <w:b w:val="0"/>
          <w:i w:val="0"/>
          <w:sz w:val="19"/>
        </w:rPr>
        <w:t>Associated Press. (2026). Exiled crown prince’s plan for Iran is mostly aimed at Trump, experts say. Associated Press.</w:t>
      </w:r>
    </w:p>
    <w:p>
      <w:pPr>
        <w:spacing w:after="60"/>
        <w:ind w:hanging="288" w:left="288"/>
        <w:jc w:val="left"/>
      </w:pPr>
      <w:r>
        <w:rPr>
          <w:rFonts w:ascii="DejaVu Sans" w:hAnsi="DejaVu Sans" w:eastAsia="DejaVu Sans" w:cs="DejaVu Sans"/>
          <w:b w:val="0"/>
          <w:i w:val="0"/>
          <w:sz w:val="19"/>
        </w:rPr>
        <w:t>Chenoweth, E., &amp; Stephan, M. J. (2011). Why Civil Resistance Works: The Strategic Logic of Nonviolent Conflict. Columbia University Press.</w:t>
      </w:r>
    </w:p>
    <w:p>
      <w:pPr>
        <w:spacing w:after="60"/>
        <w:ind w:hanging="288" w:left="288"/>
        <w:jc w:val="left"/>
      </w:pPr>
      <w:r>
        <w:rPr>
          <w:rFonts w:ascii="DejaVu Sans" w:hAnsi="DejaVu Sans" w:eastAsia="DejaVu Sans" w:cs="DejaVu Sans"/>
          <w:b w:val="0"/>
          <w:i w:val="0"/>
          <w:sz w:val="19"/>
        </w:rPr>
        <w:t>Dahl, R. A. (1989). Democracy and Its Critics. Yale University Press.</w:t>
      </w:r>
    </w:p>
    <w:p>
      <w:pPr>
        <w:spacing w:after="60"/>
        <w:ind w:hanging="288" w:left="288"/>
        <w:jc w:val="left"/>
      </w:pPr>
      <w:r>
        <w:rPr>
          <w:rFonts w:ascii="DejaVu Sans" w:hAnsi="DejaVu Sans" w:eastAsia="DejaVu Sans" w:cs="DejaVu Sans"/>
          <w:b w:val="0"/>
          <w:i w:val="0"/>
          <w:sz w:val="19"/>
        </w:rPr>
        <w:t>Diamond, L. (1999). Developing Democracy: Toward Consolidation. Johns Hopkins University Press.</w:t>
      </w:r>
    </w:p>
    <w:p>
      <w:pPr>
        <w:spacing w:after="60"/>
        <w:ind w:hanging="288" w:left="288"/>
        <w:jc w:val="left"/>
      </w:pPr>
      <w:r>
        <w:rPr>
          <w:rFonts w:ascii="DejaVu Sans" w:hAnsi="DejaVu Sans" w:eastAsia="DejaVu Sans" w:cs="DejaVu Sans"/>
          <w:b w:val="0"/>
          <w:i w:val="0"/>
          <w:sz w:val="19"/>
        </w:rPr>
        <w:t>Huntington, S. P. (1991). The Third Wave: Democratization in the Late Twentieth Century. University of Oklahoma Press.</w:t>
      </w:r>
    </w:p>
    <w:p>
      <w:pPr>
        <w:spacing w:after="60"/>
        <w:ind w:hanging="288" w:left="288"/>
        <w:jc w:val="left"/>
      </w:pPr>
      <w:r>
        <w:rPr>
          <w:rFonts w:ascii="DejaVu Sans" w:hAnsi="DejaVu Sans" w:eastAsia="DejaVu Sans" w:cs="DejaVu Sans"/>
          <w:b w:val="0"/>
          <w:i w:val="0"/>
          <w:sz w:val="19"/>
        </w:rPr>
        <w:t>Levitsky, S., &amp; Ziblatt, D. (2018). How Democracies Die. Crown.</w:t>
      </w:r>
    </w:p>
    <w:p>
      <w:pPr>
        <w:spacing w:after="60"/>
        <w:ind w:hanging="288" w:left="288"/>
        <w:jc w:val="left"/>
      </w:pPr>
      <w:r>
        <w:rPr>
          <w:rFonts w:ascii="DejaVu Sans" w:hAnsi="DejaVu Sans" w:eastAsia="DejaVu Sans" w:cs="DejaVu Sans"/>
          <w:b w:val="0"/>
          <w:i w:val="0"/>
          <w:sz w:val="19"/>
        </w:rPr>
        <w:t>Linz, J. J. (2000). Totalitarian and Authoritarian Regimes. Lynne Rienner.</w:t>
      </w:r>
    </w:p>
    <w:p>
      <w:pPr>
        <w:spacing w:after="60"/>
        <w:ind w:hanging="288" w:left="288"/>
        <w:jc w:val="left"/>
      </w:pPr>
      <w:r>
        <w:rPr>
          <w:rFonts w:ascii="DejaVu Sans" w:hAnsi="DejaVu Sans" w:eastAsia="DejaVu Sans" w:cs="DejaVu Sans"/>
          <w:b w:val="0"/>
          <w:i w:val="0"/>
          <w:sz w:val="19"/>
        </w:rPr>
        <w:t>Linz, J. J., &amp; Stepan, A. (1996). Problems of Democratic Transition and Consolidation. Johns Hopkins University Press.</w:t>
      </w:r>
    </w:p>
    <w:p>
      <w:pPr>
        <w:spacing w:after="60"/>
        <w:ind w:hanging="288" w:left="288"/>
        <w:jc w:val="left"/>
      </w:pPr>
      <w:r>
        <w:rPr>
          <w:rFonts w:ascii="DejaVu Sans" w:hAnsi="DejaVu Sans" w:eastAsia="DejaVu Sans" w:cs="DejaVu Sans"/>
          <w:b w:val="0"/>
          <w:i w:val="0"/>
          <w:sz w:val="19"/>
        </w:rPr>
        <w:t>Milani, A. (2011). The Shah. Palgrave Macmillan.</w:t>
      </w:r>
    </w:p>
    <w:p>
      <w:pPr>
        <w:spacing w:after="60"/>
        <w:ind w:hanging="288" w:left="288"/>
        <w:jc w:val="left"/>
      </w:pPr>
      <w:r>
        <w:rPr>
          <w:rFonts w:ascii="DejaVu Sans" w:hAnsi="DejaVu Sans" w:eastAsia="DejaVu Sans" w:cs="DejaVu Sans"/>
          <w:b w:val="0"/>
          <w:i w:val="0"/>
          <w:sz w:val="19"/>
        </w:rPr>
        <w:t>O’Donnell, G., &amp; Schmitter, P. C. (1986). Transitions from Authoritarian Rule: Tentative Conclusions about Uncertain Democracies. Johns Hopkins University Press.</w:t>
      </w:r>
    </w:p>
    <w:p>
      <w:pPr>
        <w:spacing w:after="60"/>
        <w:ind w:hanging="288" w:left="288"/>
        <w:jc w:val="left"/>
      </w:pPr>
      <w:r>
        <w:rPr>
          <w:rFonts w:ascii="DejaVu Sans" w:hAnsi="DejaVu Sans" w:eastAsia="DejaVu Sans" w:cs="DejaVu Sans"/>
          <w:b w:val="0"/>
          <w:i w:val="0"/>
          <w:sz w:val="19"/>
        </w:rPr>
        <w:t>Przeworski, A. (1991). Democracy and the Market: Political and Economic Reforms in Eastern Europe and Latin America. Cambridge University Press.</w:t>
      </w:r>
    </w:p>
    <w:p>
      <w:pPr>
        <w:spacing w:after="60"/>
        <w:ind w:hanging="288" w:left="288"/>
        <w:jc w:val="left"/>
      </w:pPr>
      <w:r>
        <w:rPr>
          <w:rFonts w:ascii="DejaVu Sans" w:hAnsi="DejaVu Sans" w:eastAsia="DejaVu Sans" w:cs="DejaVu Sans"/>
          <w:b w:val="0"/>
          <w:i w:val="0"/>
          <w:sz w:val="19"/>
        </w:rPr>
        <w:t>Reuters. (2026, July 28). Reza Pahlavi speaks to Reuters about Iran’s future.</w:t>
      </w:r>
    </w:p>
    <w:p>
      <w:pPr>
        <w:spacing w:after="60"/>
        <w:ind w:hanging="288" w:left="288"/>
        <w:jc w:val="left"/>
      </w:pPr>
      <w:r>
        <w:rPr>
          <w:rFonts w:ascii="DejaVu Sans" w:hAnsi="DejaVu Sans" w:eastAsia="DejaVu Sans" w:cs="DejaVu Sans"/>
          <w:b w:val="0"/>
          <w:i w:val="0"/>
          <w:sz w:val="19"/>
        </w:rPr>
        <w:t>Reza Pahlavi. (2026). Official website, statements and transition platform: secular and democratic government; transitional justice. rezapahlavi.org.</w:t>
      </w:r>
    </w:p>
    <w:p>
      <w:pPr>
        <w:spacing w:after="60"/>
        <w:ind w:hanging="288" w:left="288"/>
        <w:jc w:val="left"/>
      </w:pPr>
      <w:r>
        <w:rPr>
          <w:rFonts w:ascii="DejaVu Sans" w:hAnsi="DejaVu Sans" w:eastAsia="DejaVu Sans" w:cs="DejaVu Sans"/>
          <w:b w:val="0"/>
          <w:i w:val="0"/>
          <w:sz w:val="19"/>
        </w:rPr>
        <w:t>Sikkink, K. (2011). The Justice Cascade: How Human Rights Prosecutions Are Changing World Politics. W. W. Norton.</w:t>
      </w:r>
    </w:p>
    <w:p>
      <w:pPr>
        <w:spacing w:after="60"/>
        <w:ind w:hanging="288" w:left="288"/>
        <w:jc w:val="left"/>
      </w:pPr>
      <w:r>
        <w:rPr>
          <w:rFonts w:ascii="DejaVu Sans" w:hAnsi="DejaVu Sans" w:eastAsia="DejaVu Sans" w:cs="DejaVu Sans"/>
          <w:b w:val="0"/>
          <w:i w:val="0"/>
          <w:sz w:val="19"/>
        </w:rPr>
        <w:t>Teitel, R. G. (2000). Transitional Justice. Oxford University Press.</w:t>
      </w:r>
    </w:p>
    <w:p>
      <w:pPr>
        <w:spacing w:after="60"/>
        <w:ind w:hanging="288" w:left="288"/>
        <w:jc w:val="left"/>
      </w:pPr>
      <w:r>
        <w:rPr>
          <w:rFonts w:ascii="DejaVu Sans" w:hAnsi="DejaVu Sans" w:eastAsia="DejaVu Sans" w:cs="DejaVu Sans"/>
          <w:b w:val="0"/>
          <w:i w:val="0"/>
          <w:sz w:val="19"/>
        </w:rPr>
        <w:t>Weber, M. (1949). The Methodology of the Social Sciences. Free Press.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Naskh Arabic" w:hAnsi="Noto Naskh Arabic" w:eastAsia="Noto Naskh Arabic" w:cs="Noto Naskh Arabic"/>
        <w:b w:val="0"/>
        <w:i w:val="0"/>
        <w:sz w:val="16"/>
      </w:rPr>
      <w:t>سه نگرش عمده و یک راه‌حل برای سکولار دموکراسی | دکتر پیمان بخشایش</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