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ptos Display" w:hAnsi="Aptos Display"/>
          <w:b/>
          <w:sz w:val="42"/>
        </w:rPr>
        <w:t>Sozialisten, Kommunisten und konstitutionelle Monarchie</w:t>
      </w:r>
    </w:p>
    <w:p>
      <w:pPr>
        <w:jc w:val="center"/>
      </w:pPr>
      <w:r>
        <w:rPr>
          <w:i/>
          <w:sz w:val="24"/>
        </w:rPr>
        <w:t>Eine historische und vergleichende Analyse von Koalitionsbildung, konstitutioneller Beteiligung und Arbeiterrechten</w:t>
      </w:r>
    </w:p>
    <w:p>
      <w:pPr>
        <w:jc w:val="center"/>
      </w:pPr>
      <w:r>
        <w:rPr>
          <w:sz w:val="20"/>
        </w:rPr>
        <w:t>Deutsche Übersetzung mit vergleichenden Fallbeispielen und Referenzen</w:t>
      </w:r>
    </w:p>
    <w:p/>
    <w:p>
      <w:pPr>
        <w:pStyle w:val="Heading1"/>
        <w:keepNext/>
      </w:pPr>
      <w:r>
        <w:t>Zusammenfassung</w:t>
      </w:r>
    </w:p>
    <w:p>
      <w:r>
        <w:t>Dieser Essay untersucht, ob sozialistische, sozialdemokratische und kommunistisch orientierte Akteure konstruktiv innerhalb einer konstitutionellen Monarchie teilnehmen können, ohne ihre Kernverpflichtungen gegenüber sozialer Gerechtigkeit, Arbeiter­macht, Wohlfahrtsrechten, Gleichheit und demokratischer Kontrolle über die Wirtschaft aufzugeben. Die historische Bilanz zeigt zwei gleichzeitige Wahrheiten. Erstens entstanden viele sozialistische und kommunistische Bewegungen in direkter Opposition zu monarchischem Absolutismus, Grundbesitzerprivilegien und antidemokratischer Staatsmacht. Zweitens haben linke Parteien in mehreren modernen konstitutionellen Monarchien erfolgreich regiert, Gesetze erlassen, Arbeiterrechte verteidigt, Wohlfahrtsstaaten aufgebaut und egalitäre Reformen innerhalb parlamentarisch-konstitutioneller Regeln verfolgt.</w:t>
      </w:r>
    </w:p>
    <w:p>
      <w:r>
        <w:t>Die zentrale analytische Unterscheidung lautet daher nicht abstrakt Monarchie gegen Sozialismus. Sie lautet: absolute Monarchie versus konstitutionelle Monarchie; revolutionärer Einparteien-Sozialismus versus demokratischer Sozialismus; symbolisches Staatsoberhaupt versus exekutive politische Macht. Eine konstitutionelle Monarchie kann mit sozialistischer Beteiligung vereinbar sein, wenn Souveränität, Gesetzgebung, Besteuerung und Regierungsbildung von gewählten Institutionen kontrolliert werden; wenn bürgerliche Freiheiten und Gewerkschaftsrechte geschützt sind; und wenn linke Parteien frei um Macht konkurrieren können. Zugleich darf konstitutionelle Beteiligung nicht mit sozialer Passivität verwechselt werden. In großen sozialen Krisen behalten Arbeiter und Bürger legitime Rechte, sich zu organisieren, zu streiken, kollektiv zu verhandeln, Verfassungsreformen zu verlangen und durch rechtmäßige demokratische Mobilisierung eine tiefere demokratische Kontrolle anzustreben.</w:t>
      </w:r>
    </w:p>
    <w:p>
      <w:r>
        <w:t>Der Essay schließt, indem er diese Logik auf den iranischen Oppositionskontext anwendet. Eine sozialistische oder ehemals arbeiterkommunistische Strömung könnte mit einer nationalen Übergangsfigur wie Kronprinz Reza Pahlavi kooperieren, wenn diese Kooperation nicht auf dynastischer Unterordnung, ideologischer Reinheit oder antlinker Ausschließung beruht, sondern auf einem schriftlichen demokratischen Rahmen: Säkularismus, Pluralismus, freie Wahlen, Gewerkschaftsfreiheit, soziale Rechte, territoriale Integrität, Übergangsjustiz und ein zukünftiges Verfassungsreferendum.</w:t>
      </w:r>
    </w:p>
    <w:p>
      <w:r>
        <w:rPr>
          <w:b/>
        </w:rPr>
        <w:t xml:space="preserve">Zentrale These: </w:t>
      </w:r>
      <w:r>
        <w:t>Sozialisten können innerhalb einer konstitutionellen Monarchie teilnehmen, wenn die Monarchie nicht exekutiv ist, das Parlament souverän oder verfassungsrechtlich oberste Autorität besitzt, die Regierung vom demokratischen Vertrauen abhängt und Arbeiter volle Rechte behalten, sich zu organisieren, zu streiken und die Verteilung wirtschaftlicher Macht zu bestreiten. Die akzeptable Koalitionsformel lautet nicht: 'Linke müssen Monarchisten werden'; sie lautet: 'Linke können innerhalb einer demokratischen Verfassungsordnung arbeiten und zugleich ihr Recht bewahren, durch demokratische Mittel eine tiefere soziale Transformation anzustreben.'</w:t>
      </w:r>
    </w:p>
    <w:p>
      <w:pPr>
        <w:pStyle w:val="Heading1"/>
        <w:keepNext/>
      </w:pPr>
      <w:r>
        <w:t>1. Der historische Konflikt: Sozialismus gegen Absolutismus, Privilegien und Klassenherrschaft</w:t>
      </w:r>
    </w:p>
    <w:p>
      <w:r>
        <w:t>Die sozialistische und kommunistische Opposition gegen Monarchien war historisch nachvollziehbar. In weiten Teilen Europas war Monarchie nicht nur ein kulturelles Symbol; sie war mit erblicher Herrschaft, aristokratischen Privilegien, kirchlicher Autorität, Zensur, eingeschränktem Wahlrecht und der zwangsweisen Verteidigung grundherrlicher oder kapitalistischer Interessen verbunden. Frühe sozialistische Bewegungen sahen die Monarchie daher als Teil jener Klassenstruktur, die die politische Emanzipation der Arbeiter blockierte.</w:t>
      </w:r>
    </w:p>
    <w:p>
      <w:r>
        <w:t>Der russische Fall ist das klassische revolutionäre Beispiel. Der Zusammenbruch der Romanow-Autokratie im Jahr 1917 zeigte, dass scheinbar unbewegliche dynastische Strukturen durch Krieg, soziale Krise, Arbeiter­mobilisierung, Bauernaufstand und den Zerfall der Eliten zerstört werden konnten. Der bolschewistische Ausgang offenbarte jedoch zugleich eine zweite Gefahr: Die Zerstörung der Monarchie schafft nicht automatisch Volkssouveränität. Wo Pluralismus, unabhängige Gewerkschaften, freie Wahlen und bürgerliche Freiheiten einer einzigen Partei untergeordnet werden, kann die Sprache der Arbeiterherrschaft zur Architektur einer neuen Diktatur werden.</w:t>
      </w:r>
    </w:p>
    <w:p>
      <w:r>
        <w:t>Darum muss eine moderne sozialistische Analyse zwischen Anti-Absolutismus und Anti-Konstitutionalismus unterscheiden. Der Sozialismus besitzt einen starken demokratischen Zweig: Sozialdemokratie, demokratischer Sozialismus, Labour-Tradition, Eurokommunismus und parlamentarische Linke. Diese Traditionen verlangen nicht zwingend Sowjetmacht, Einparteienherrschaft oder die sofortige Abschaffung aller verfassungsmäßigen Symbole. Ihr praktisches Kriterium lautet, ob gewöhnliche Menschen reale soziale Macht gewinnen: sichere Löhne, Arbeitsschutz, Tarifverhandlungen, öffentliche Gesundheitsversorgung, Bildung, Renten, Wohnrechte und demokratischen Einfluss auf die Wirtschaft.</w:t>
      </w:r>
    </w:p>
    <w:p>
      <w:pPr>
        <w:pStyle w:val="Heading1"/>
        <w:keepNext/>
      </w:pPr>
      <w:r>
        <w:t>2. Die konstitutionelle Unterscheidung: Monarchie als exekutive Macht versus Monarchie als symbolische Staatlichkeit</w:t>
      </w:r>
    </w:p>
    <w:p>
      <w:r>
        <w:t>Eine konstitutionelle Monarchie ist nicht einfach eine alte Monarchie mit moderner Sprache. In den stärksten parlamentarischen Modellen wird dem Monarchen die Regierungsgewalt entzogen; er wird zu einem überparteilichen Symbol staatlicher Kontinuität. Politische Autorität wandert zu Parlament, gewählter Regierung, Gerichten, Kommunen und öffentlichen Institutionen. Im Vereinigten Königreich beschreibt das Parlament die Krone zwar als Bestandteil des Parlaments, betont aber, dass die Zeit die monarchische Macht reduziert hat und die Monarchie heute weitgehend zeremoniell ist; der König lädt den Vorsitzenden jener Partei, die die meisten Sitze im Unterhaus besitzt, zur Regierungsbildung ein [2].</w:t>
      </w:r>
    </w:p>
    <w:p>
      <w:r>
        <w:t>Schweden bietet ein noch klareres modernes Modell. Schweden ist eine parlamentarische Demokratie und eine konstitutionelle Monarchie. Der Ministerpräsident führt die Regierung und übt die Exekutivgewalt aus, während der König ein unpolitisches Staatsoberhaupt mit überwiegend zeremoniellen und repräsentativen Aufgaben ist [5]. Das ist kein Absolutismus. Es ist eine parlamentarisch-konstitutionelle Ordnung, in der Parteien der Linken, der Mitte und der Rechten um legislative und exekutive Autorität konkurrieren.</w:t>
      </w:r>
    </w:p>
    <w:p>
      <w:r>
        <w:t>Die Folgerung ist für die sozialistische Theorie wichtig. Wenn der Monarch die Armee nicht politisch kommandiert, nicht persönlich Gesetze erlässt, keine Regierungen gegen die demokratische Arithmetik ernennt und sozialistische Gesetzgebung nicht blockiert, dann wird das zentrale sozialistische Kampffeld das Parlament, die Arbeitswelt, die Gewerkschaften, die Kommunen, die öffentlichen Dienste und die Eigentumsordnung. Die Monarchie bleibt eine Verfassungsfrage, ist aber nicht notwendigerweise das primäre Hindernis für Wohlfahrt, Gleichheit oder Arbeiter­macht.</w:t>
      </w:r>
    </w:p>
    <w:p>
      <w:pPr>
        <w:pStyle w:val="Heading1"/>
        <w:keepNext/>
      </w:pPr>
      <w:r>
        <w:t>3. Norwegen und König Haakon VII.: der König aller Bürger, einschließlich der Arbeiterbewegung</w:t>
      </w:r>
    </w:p>
    <w:p>
      <w:r>
        <w:t>Norwegen ist eines der stärksten Beispiele für das Argument, dass eine konstitutionelle Monarchie mit einer mächtigen Arbeiterbewegung koexistieren kann. Die Norwegische Arbeiterpartei wurde 1887 gegründet, zog 1903 ins Parlament ein, wurde ab 1927 Norwegens größte Partei und erlebte zuvor eine Spaltung im Zusammenhang mit der Kommunistischen Internationale, bevor sie diese verließ und sich 1927 wieder vereinigte [7].</w:t>
      </w:r>
    </w:p>
    <w:p>
      <w:r>
        <w:t>Der entscheidende symbolische Moment kam 1928. Nach Angaben des norwegischen Königshauses wählte König Haakon VII. Christopher Hornsrud, den Führer der ersten norwegischen Arbeiterregierung, entgegen dem Rat des scheidenden Ministerpräsidenten [1]. Die Bedeutung dieses Ereignisses ist sowohl verfassungsrechtlich als auch symbolisch. Ein Monarch, der parlamentarische Legitimität trotz persönlicher, elitärer oder konservativer Besorgnis respektiert, wird zu einem Stabilisator der Demokratie und nicht zu einem Instrument der Klassenausschließung.</w:t>
      </w:r>
    </w:p>
    <w:p>
      <w:r>
        <w:t>Norwegen entwickelte später eine starke arbeiterdemokratische Tradition. Die norwegische Regierung beschreibt Norwegen als Monarchie auf Grundlage der Verfassung von 1814, mit einer Machtteilung zwischen Storting, Regierung und Gerichten [8]. Arbeiterregierungen waren zentral für den Aufbau des norwegischen Wohlfahrtsstaates. Die Lehre lautet nicht, dass Sozialisten Monarchisten sein müssen; sie lautet, dass ein konstitutioneller Monarch den Machtwechsel normalisieren und das Regierungsrecht von Arbeiterparteien schützen kann.</w:t>
      </w:r>
    </w:p>
    <w:p>
      <w:pPr>
        <w:pStyle w:val="Heading1"/>
        <w:keepNext/>
      </w:pPr>
      <w:r>
        <w:t>4. Das Vereinigte Königreich: Labour-Reform innerhalb von Crown-in-Parliament</w:t>
      </w:r>
    </w:p>
    <w:p>
      <w:r>
        <w:t>Das Vereinigte Königreich zeigt, wie eine Arbeiterpartei Sozialpolitik innerhalb einer konstitutionellen Monarchie transformieren kann. Die Krone ist formal in das Parlament integriert, doch das gewählte Unterhaus ist die entscheidende demokratische Kammer. Nach Wahlen lädt der Monarch denjenigen Führer zur Regierungsbildung ein, der das Vertrauen des Unterhauses erlangen kann [2].</w:t>
      </w:r>
    </w:p>
    <w:p>
      <w:r>
        <w:t>Die Labour-Regierung Attlee von 1945 bis 1951 ist das zentrale Beispiel. Clement Attlee war von 1945 bis 1951 Premierminister der Labour Party. GOV.UK fasst seine Regierung als eine zusammen, die Sozialdienste und den öffentlichen Sektor ausweitete, den National Health Service schuf und wichtige Industrien sowie öffentliche Versorgungsbetriebe verstaatlichte [3]. Eine Quelle zur britischen Regierungsgeschichte hält fest, dass Attlees Regierung nach dem Labour-Erdrutschsieg von 1945 den Aufbau eines umfassenden Wohlfahrtsstaates mit dem NHS im Zentrum begann [4].</w:t>
      </w:r>
    </w:p>
    <w:p>
      <w:r>
        <w:t>Dieses Beispiel ist wichtig, weil es zeigt, dass sozialistische oder labouristische Ziele vorangebracht werden können, ohne zuerst die konstitutionelle Monarchie abzuschaffen. Verstaatlichung, universelle Gesundheitsversorgung, Sozialversicherung, öffentliche Bildung und erweiterte Wohlfahrtsrechte wurden durch parlamentarische Mehrheit, Gesetzgebung, Besteuerung und öffentliche Verwaltung verfolgt. Die Monarchie verhinderte keine tiefgreifende links der Mitte stehende Rekonstruktion des Staates. Die Grenzen des britischen Beispiels sind ebenfalls lehrreich: Arbeitsrechte im Vereinigten Königreich hingen stets von Gesetzgebung, politischem Kampf und Gewerkschaftsmacht ab, nicht von königlichem Wohlwollen. Eine konstitutionelle Monarchie kann daher einen stabilen Rahmen bieten, aber sie ersetzt keine Klassenorganisation.</w:t>
      </w:r>
    </w:p>
    <w:p>
      <w:pPr>
        <w:pStyle w:val="Heading1"/>
        <w:keepNext/>
      </w:pPr>
      <w:r>
        <w:t>5. Schweden: Sozialdemokraten, Vänsterpartiet und die parlamentarische Linke unter einer zeremoniellen Monarchie</w:t>
      </w:r>
    </w:p>
    <w:p>
      <w:r>
        <w:t>Schweden bietet ein dichtes Beispiel linker Politik unter einer zeremoniellen Monarchie. Der schwedische Staat erklärt, dass das Volk den Reichstag wählt, das Parlament Entscheidungen trifft, die Regierung diese umsetzt und der König ein unpolitisches Staatsoberhaupt mit überwiegend zeremoniellen Aufgaben ist [5]. Diese institutionelle Gestaltung erlaubt es sozialistischen und sozialdemokratischen Akteuren, Parlament, Gewerkschaften und öffentliche Verwaltung als Hauptarenen der Macht zu behandeln.</w:t>
      </w:r>
    </w:p>
    <w:p>
      <w:r>
        <w:t>Die Sozialdemokraten bauten über lange Perioden gewählter Regierungsverantwortung einen Großteil des schwedischen Wohlfahrtsstaatsmodells auf. Selbst wenn schwedische Sozialdemokraten republikanische Strömungen oder verfassungspolitische Kritik an der Monarchie enthielten, arbeiteten sie durch die parlamentarische Demokratie, anstatt die Monarchie als unmittelbares Hindernis jeder sozialen Reform zu behandeln. Das schwedische Arbeitsmodell, solidarische Lohnpolitik und die öffentliche Wohlfahrtsarchitektur illustrieren eine pragmatische sozialistische Tradition: staatliche Kapazität, Besteuerung, organisierte Arbeit und demokratische Legitimität nutzen, um soziale Macht zu verschieben.</w:t>
      </w:r>
    </w:p>
    <w:p>
      <w:r>
        <w:t>Auch die Vänsterpartiet ist lehrreich. Sie ist eine sozialistische Partei, die im schwedischen Reichstag vertreten ist; die Parteienübersicht des Reichstags benennt ihre aktuelle Parteiführung und parlamentarischen Rollen [6]. Ihre Existenz innerhalb des parlamentarischen Systems zeigt, dass eine Partei links der Sozialdemokratie an konstitutioneller Politik teilnehmen, Regierungen unterstützen oder bekämpfen, Haushalte und öffentliche Politik beeinflussen und eine sozialistische Identität bewahren kann, ohne die Aufstandsstrategie zur normalen Form der Politik zu machen.</w:t>
      </w:r>
    </w:p>
    <w:p>
      <w:pPr>
        <w:pStyle w:val="Heading1"/>
        <w:keepNext/>
      </w:pPr>
      <w:r>
        <w:t>6. Dänemark und Spanien: weitere konstitutionell-monarchische Fälle</w:t>
      </w:r>
    </w:p>
    <w:p>
      <w:r>
        <w:t>Dänemark zeigt die Koalitionslogik einer parlamentarischen Monarchie. Denmark.dk beschreibt Dänemark als parlamentarische Demokratie mit einem Mehrparteien-Folketing; da normalerweise keine einzelne Partei alle 179 Sitze kontrolliert, verhandeln Parteien Ziele, um Koalitionen zu bilden [9]. Die dänischen Sozialdemokraten waren zentral für Entwicklung und Verteidigung wohlfahrtsstaatlicher Politik innerhalb dieses verfassungsrechtlichen Rahmens.</w:t>
      </w:r>
    </w:p>
    <w:p>
      <w:r>
        <w:t>Spanien ist ein komplexerer, aber relevanter Übergangsfall. Die spanische Verfassung etabliert Spanien als sozialen und demokratischen Rechtsstaat, erklärt die nationale Souveränität zum Besitz des spanischen Volkes und definiert die politische Form des Staates als parlamentarische Monarchie [10]. Dieser Verfassungstext ist entscheidend: Die Monarchie wird in einen Rahmen von Volkssouveränität, Freiheit, Gerechtigkeit, Gleichheit und politischem Pluralismus gestellt. Spanische Sozialisten haben wiederholt innerhalb dieser Ordnung regiert, während andere linke Kräfte die Monarchie kritisiert oder durch republikanische Politik reformieren wollten.</w:t>
      </w:r>
    </w:p>
    <w:p>
      <w:r>
        <w:t>Der spanische Fall zeigt sowohl Vereinbarkeit als auch Spannung. Eine konstitutionelle Monarchie kann mit sozialistischer Beteiligung vereinbar sein, bleibt aber umstritten, wenn Teile der Gesellschaft die Monarchie mit autoritärem Erbe, ungleichen Privilegien oder einem unvollständigen demokratischen Bruch verbinden. Koalitionsbildung verlangt daher verfassungsrechtliche Klarheit und ein anerkanntes Recht auf friedliche Verfassungsreform.</w:t>
      </w:r>
    </w:p>
    <w:p>
      <w:pPr>
        <w:pStyle w:val="Heading1"/>
        <w:keepNext/>
      </w:pPr>
      <w:r>
        <w:t>7. Vom revolutionären Sozialismus zum demokratischen Sozialismus: der strategische Wandel</w:t>
      </w:r>
    </w:p>
    <w:p>
      <w:r>
        <w:t>Der Fall der Sowjetunion erzwang eine strategische Neubewertung in der globalen Linken. Parteien konnten revolutionäre Rhetorik als Identität konservieren, sich in antiwestliche oder antiamerikanische Symbolik zurückziehen oder den Sozialismus um demokratische Macht, Wohlfahrt, Arbeitsrechte, Ökologie, Feminismus und Antiautoritarismus rekonstruieren. Die dauerhaftesten europäischen linken Strömungen wählten im Allgemeinen die konstitutionelle Demokratie als Kampffeld, nicht bloß als bürgerliche Täuschung.</w:t>
      </w:r>
    </w:p>
    <w:p>
      <w:r>
        <w:t>Eine moderne sozialistische Partei kann daher ein mehrschichtiges Programm verfolgen. Auf der Minimalebene kämpft sie für universelle Gesundheitsversorgung, Bildung, Wohnen, Renten, Kinderbetreuung, Arbeitslosenversicherung, Arbeitssicherheit, Gewerkschaftsfreiheit, progressive Besteuerung und öffentliche Investitionen. Auf einer tieferen Ebene kann sie demokratisches Eigentum, Genossenschaften, öffentliche Versorgungsbetriebe, strategische Planung und gesellschaftliche Kontrolle über Kapital vertreten. Auf verfassungsrechtlicher Ebene kann sie die bestehenden Regeln akzeptieren und sich zugleich das Recht vorbehalten, durch friedliche demokratische Mechanismen für republikanische Reformen einzutreten.</w:t>
      </w:r>
    </w:p>
    <w:p>
      <w:r>
        <w:t>Diese Strategie vermeidet zwei Fehler. Sie vermeidet den konservativen Irrtum, jeden Sozialisten als Feind nationaler Stabilität zu behandeln. Sie vermeidet auch den ultralinken Irrtum, jeden verfassungsrechtlichen Kompromiss als Verrat zu betrachten. Die relevante Frage ist stets konkret: Erhöht Beteiligung Macht, Würde und Sicherheit gewöhnlicher Bürger, oder schmückt sie lediglich eine ungerechte Ordnung?</w:t>
      </w:r>
    </w:p>
    <w:p>
      <w:pPr>
        <w:pStyle w:val="Heading1"/>
        <w:keepNext/>
      </w:pPr>
      <w:r>
        <w:t>8. Arbeiterrechte, Krise und Selbstbestimmung innerhalb der konstitutionellen Demokratie</w:t>
      </w:r>
    </w:p>
    <w:p>
      <w:r>
        <w:t>Konstitutionelle Beteiligung darf in der Krise nicht Schweigen bedeuten. Selbst in einer konstitutionellen Monarchie behalten Arbeiter das Recht, sich zu organisieren, zu streiken, kollektiv zu verhandeln und ungerechte wirtschaftliche Arrangements herauszufordern. Der Internationale Pakt über wirtschaftliche, soziale und kulturelle Rechte erkennt Gewerkschaftsrechte und das Streikrecht an, ausgeübt in Übereinstimmung mit nationalem Recht [11]. Die parlamentarische Forschung des Vereinigten Königreichs behandelt Gewerkschaften, Tarifverhandlungen, Streiks und Arbeitskampf weiterhin als Kernfragen des Arbeitsrechts und demokratischer Regierungsführung [12].</w:t>
      </w:r>
    </w:p>
    <w:p>
      <w:r>
        <w:t>Eine sozialistische Verfassungslehre sollte daher zwei Verpflichtungen enthalten. Erstens sollten linke Parteien Wahll egitimität, Pluralismus, bürgerliche Freiheiten und den friedlichen Machtwechsel respektieren. Zweitens müssen Verfassungssysteme das Recht der Arbeiter auf kollektives Handeln respektieren, einschließlich Generalstreiks, soweit sie rechtmäßig, verhältnismäßig und demokratisch mandatiert sind. Eine Verfassung, die Eigentum schützt, aber Arbeiterorganisation unterdrückt, ist nicht sozial neutral; sie ist strukturell zugunsten des Kapitals verzerrt.</w:t>
      </w:r>
    </w:p>
    <w:p>
      <w:r>
        <w:t>Hier bleibt die marxistische Analyse relevant. Der Kapitalismus kann Zyklen von Akkumulation, sinkender Profitabilität, Marktsättigung, Arbeitslosigkeit, Austerität und politischer Krise hervorbringen. Eine konstitutionelle Monarchie kann diese Widersprüche nicht durch Symbolik lösen. Sie kann nur einen politischen Raum bereitstellen, in dem die Gesellschaft über sie streitet. Wenn gewählte Institutionen auf Hunger, Arbeitslosigkeit, Korruption oder Repression nicht reagieren, sind Arbeiter und Bürger berechtigt, demokratischen Druck durch Gewerkschaften, zivilgesellschaftliche Mobilisierung, Streiks, Wahlen, Verfassungskampagnen und Forderungen nach Umverteilung von Macht zu intensivieren.</w:t>
      </w:r>
    </w:p>
    <w:p>
      <w:pPr>
        <w:pStyle w:val="Heading1"/>
        <w:keepNext/>
      </w:pPr>
      <w:r>
        <w:t>9. Anwendung auf die iranische Oppositionspolitik: ein möglicher sozialistisch-monarchistischer Verfassungspakt</w:t>
      </w:r>
    </w:p>
    <w:p>
      <w:r>
        <w:t>Im iranischen Kontext geht es nicht darum, dass jeder Sozialist Monarchist werden müsste. Das wäre intellektuell falsch und politisch unnötig. Die Frage ist, ob Sozialisten, demokratische Linke und ehemalige arbeiterkommunistische Aktivisten mit einer nationalen Übergangsfigur wie Kronprinz Reza Pahlavi auf Grundlage eines demokratischen Übergangsrahmens kooperieren können. Reza Pahlavis offizielle Website präsentiert ihn als Verfechter eines säkular-demokratischen Iran [13], und seine Bemerkungen zum Iran Prosperity Project rahmen seine Rolle im Sinne eines Übergangs nach der Islamischen Republik [14]. Diese Ansprüche bleiben politisch umstritten, schaffen aber eine Plattform, auf der verfassungsrechtliche Verpflichtungen geprüft werden können.</w:t>
      </w:r>
    </w:p>
    <w:p>
      <w:r>
        <w:t>Ein tragfähiger Pakt würde ausdrückliche Garantien verlangen: Säkularismus; gleiche Staatsbürgerschaft; Parteifreiheit einschließlich sozialistischer Parteien; unabhängige Gewerkschaften; Rede- und Versammlungsfreiheit; Schutz von Frauen, Minderheiten und Arbeitern; Übergangsjustiz; Ablehnung von Rachepolitik; soziale Notfallplanung; und ein frei gewählter verfassunggebender Prozess oder ein Referendum zur Bestimmung der künftigen Staatsform. Unter einem solchen Pakt kann ein Sozialist taktisch mit einem konstitutionellen Monarchisten oder einer mit der Monarchie verbundenen Übergangsfigur kooperieren, ohne das Recht aufzugeben, für Sozialismus, Republikanismus, demokratisches Eigentum oder stärkere Arbeiter­macht einzutreten.</w:t>
      </w:r>
    </w:p>
    <w:p>
      <w:r>
        <w:t>Die Gefahr liegt in ideologischer Reinigung auf beiden Seiten. Royalistische Puristen können Linke wegen 1979, Marxismus, anti-pahlavistischer Geschichte oder antikapitalistischer Sprache als dauerhaft schuldig behandeln. Traditionelle linke Puristen können jede Kooperation mit Pahlavi als Klassenverrat betrachten. Beide Positionen können die Politik nationaler Befreiung paralysieren. Ein reifer konstitutioneller Ansatz würde sagen: Keine Fraktion besitzt die Nation; keine Fraktion hat ein Monopol auf Gerechtigkeit; und jede Fraktion muss ihr Programm freien Bürgern unter gleichen verfassungsmäßigen Regeln vorlegen.</w:t>
      </w:r>
    </w:p>
    <w:p>
      <w:pPr>
        <w:pStyle w:val="Heading1"/>
        <w:keepNext/>
      </w:pPr>
      <w:r>
        <w:t>10. Analytisches Modell: die drei Kompatibilitätstests</w:t>
      </w:r>
    </w:p>
    <w:p>
      <w:r>
        <w:t>Eine sozialistische Partei kann kohärent an einer konstitutionellen Monarchie teilnehmen, wenn drei Tests erfüllt sind. Der Souveränitätstest fragt, ob reale politische Macht durch gewählte Institutionen beim Volk liegt. Der Arbeiterrechtetest fragt, ob Arbeiter sich organisieren, verhandeln, streiken und unabhängige Gewerkschaften aufbauen können. Der Transformationstest fragt, ob Parteien frei sind, ohne Repression für gesellschaftliches Eigentum, Ausbau des Wohlfahrtsstaates, Verfassungsreform und vertiefte Demokratie zu werben.</w:t>
      </w:r>
    </w:p>
    <w:p>
      <w:r>
        <w:t>Wenn alle drei Tests erfüllt sind, ist die konstitutionelle Monarchie kein inhärentes Hindernis sozialistischer Politik. Wenn ein Test scheitert, wird die Monarchie oder die breitere Staatsstruktur Teil des Problems. Dies erlaubt eine disziplinierte Unterscheidung zwischen symbolischer Monarchie und antidemokratischer Monarchie, zwischen Verfassungspatriotismus und Klassenherrschaft sowie zwischen Koalitionsbildung und ideologischer Kapitulation.</w:t>
      </w:r>
    </w:p>
    <w:p>
      <w:pPr>
        <w:pStyle w:val="Heading1"/>
        <w:keepNext/>
      </w:pPr>
      <w:r>
        <w:t>Schlussfolgerung</w:t>
      </w:r>
    </w:p>
    <w:p>
      <w:r>
        <w:t>Der historische Sozialismus entstand im Kampf gegen konzentrierte Macht, ererbte Privilegien und kapitalistische Ausbeutung. Dieser Ursprung sollte nicht vergessen werden. Moderne konstitutionelle Monarchien sind jedoch nicht alle identisch mit den absolutistischen Regimen, gegen die sich der Sozialismus zuerst erhob. In Norwegen, dem Vereinigten Königreich, Schweden, Dänemark und Spanien haben linke Parteien innerhalb konstitutionell-monarchischer Rahmen teilgenommen, durch das Parlament regiert, Wohlfahrtsrechte ausgebaut und sozialistische oder sozialdemokratische Identitäten bewahrt.</w:t>
      </w:r>
    </w:p>
    <w:p>
      <w:r>
        <w:t>Die Lehre für die iranische Koalitionspolitik ist praktisch. Eine breite demokratische Koalition kann Sozialisten, Liberale, konstitutionelle Monarchisten, Republikaner, Nationalisten und Bürgerbewegungen umfassen, wenn die Koalition um Regeln statt um Verehrung organisiert ist: Volkssouveränität, säkulare Demokratie, bürgerliche Freiheiten, Gewerkschaftsfreiheit, Wohlfahrtsrechte, soziale Gerechtigkeit und eine verfassunggebende Entscheidung durch das Volk. Ein Sozialist kann daher mit Kronprinz Reza Pahlavi als Übergangs- oder nationaler Figur kooperieren, wenn die Kooperation an demokratische Garantien gebunden ist und kein Schweigen über Arbeiterrechte, Klassenmacht oder künftige Verfassungswahl verlangt.</w:t>
      </w:r>
    </w:p>
    <w:p>
      <w:r>
        <w:t>Die verteidigungswürdigste Formel lautet: konstitutionelle Beteiligung ohne ideologische Kapitulation; Koalition ohne Reinigung; nationaler Übergang ohne Klassenblindheit; und Arbeiterrechte als nicht verhandelbarer Bestandteil der Demokratie.</w:t>
      </w:r>
    </w:p>
    <w:p>
      <w:pPr>
        <w:pStyle w:val="Heading1"/>
        <w:keepNext/>
        <w:pageBreakBefore/>
      </w:pPr>
      <w:r>
        <w:t>Vergleichende Matrix: linke Beteiligung in konstitutionellen Monarchien</w:t>
      </w:r>
    </w:p>
    <w:tbl>
      <w:tblPr>
        <w:tblStyle w:val="TableGrid"/>
        <w:tblW w:type="auto" w:w="0"/>
        <w:jc w:val="center"/>
        <w:tblLook w:firstColumn="1" w:firstRow="1" w:lastColumn="0" w:lastRow="0" w:noHBand="0" w:noVBand="1" w:val="04A0"/>
      </w:tblPr>
      <w:tblGrid>
        <w:gridCol w:w="2033"/>
        <w:gridCol w:w="2033"/>
        <w:gridCol w:w="2033"/>
        <w:gridCol w:w="2033"/>
        <w:gridCol w:w="2033"/>
      </w:tblGrid>
      <w:tr>
        <w:trPr>
          <w:tblHeader w:val="true"/>
          <w:cantSplit/>
        </w:trPr>
        <w:tc>
          <w:tcPr>
            <w:tcW w:type="dxa" w:w="2033"/>
            <w:vAlign w:val="top"/>
            <w:shd w:fill="D9EAF7"/>
          </w:tcPr>
          <w:p>
            <w:pPr>
              <w:keepNext/>
            </w:pPr>
            <w:r/>
            <w:r>
              <w:rPr>
                <w:b/>
                <w:sz w:val="15"/>
              </w:rPr>
              <w:t>Land</w:t>
            </w:r>
          </w:p>
        </w:tc>
        <w:tc>
          <w:tcPr>
            <w:tcW w:type="dxa" w:w="2033"/>
            <w:vAlign w:val="top"/>
            <w:shd w:fill="D9EAF7"/>
          </w:tcPr>
          <w:p>
            <w:pPr>
              <w:keepNext/>
            </w:pPr>
            <w:r/>
            <w:r>
              <w:rPr>
                <w:b/>
                <w:sz w:val="15"/>
              </w:rPr>
              <w:t>Konstitutionell-monarchische Struktur</w:t>
            </w:r>
          </w:p>
        </w:tc>
        <w:tc>
          <w:tcPr>
            <w:tcW w:type="dxa" w:w="2033"/>
            <w:vAlign w:val="top"/>
            <w:shd w:fill="D9EAF7"/>
          </w:tcPr>
          <w:p>
            <w:pPr>
              <w:keepNext/>
            </w:pPr>
            <w:r/>
            <w:r>
              <w:rPr>
                <w:b/>
                <w:sz w:val="15"/>
              </w:rPr>
              <w:t>Linkes/sozialistisches Beispiel</w:t>
            </w:r>
          </w:p>
        </w:tc>
        <w:tc>
          <w:tcPr>
            <w:tcW w:type="dxa" w:w="2033"/>
            <w:vAlign w:val="top"/>
            <w:shd w:fill="D9EAF7"/>
          </w:tcPr>
          <w:p>
            <w:pPr>
              <w:keepNext/>
            </w:pPr>
            <w:r/>
            <w:r>
              <w:rPr>
                <w:b/>
                <w:sz w:val="15"/>
              </w:rPr>
              <w:t>Nachweis der Vereinbarkeit</w:t>
            </w:r>
          </w:p>
        </w:tc>
        <w:tc>
          <w:tcPr>
            <w:tcW w:type="dxa" w:w="2033"/>
            <w:vAlign w:val="top"/>
            <w:shd w:fill="D9EAF7"/>
          </w:tcPr>
          <w:p>
            <w:pPr>
              <w:keepNext/>
            </w:pPr>
            <w:r/>
            <w:r>
              <w:rPr>
                <w:b/>
                <w:sz w:val="15"/>
              </w:rPr>
              <w:t>Relevante Vorsicht</w:t>
            </w:r>
          </w:p>
        </w:tc>
      </w:tr>
      <w:tr>
        <w:trPr>
          <w:cantSplit/>
        </w:trPr>
        <w:tc>
          <w:tcPr>
            <w:tcW w:type="dxa" w:w="2033"/>
            <w:vAlign w:val="top"/>
          </w:tcPr>
          <w:p>
            <w:r/>
            <w:r>
              <w:rPr>
                <w:b w:val="0"/>
                <w:sz w:val="14"/>
              </w:rPr>
              <w:t>Norwegen</w:t>
            </w:r>
          </w:p>
        </w:tc>
        <w:tc>
          <w:tcPr>
            <w:tcW w:type="dxa" w:w="2033"/>
            <w:vAlign w:val="top"/>
          </w:tcPr>
          <w:p>
            <w:r/>
            <w:r>
              <w:rPr>
                <w:b w:val="0"/>
                <w:sz w:val="14"/>
              </w:rPr>
              <w:t>Monarchie unter der Verfassung von 1814; Storting, Regierung und Gerichte teilen öffentliche Macht.</w:t>
            </w:r>
          </w:p>
        </w:tc>
        <w:tc>
          <w:tcPr>
            <w:tcW w:type="dxa" w:w="2033"/>
            <w:vAlign w:val="top"/>
          </w:tcPr>
          <w:p>
            <w:r/>
            <w:r>
              <w:rPr>
                <w:b w:val="0"/>
                <w:sz w:val="14"/>
              </w:rPr>
              <w:t>Norwegische Arbeiterpartei; erste Arbeiterregierung unter Hornsrud 1928.</w:t>
            </w:r>
          </w:p>
        </w:tc>
        <w:tc>
          <w:tcPr>
            <w:tcW w:type="dxa" w:w="2033"/>
            <w:vAlign w:val="top"/>
          </w:tcPr>
          <w:p>
            <w:r/>
            <w:r>
              <w:rPr>
                <w:b w:val="0"/>
                <w:sz w:val="14"/>
              </w:rPr>
              <w:t>König Haakon VII. ernannte die Arbeiterregierung trotz konservativen Rats; Labour wurde zentrale Regierungspartei.</w:t>
            </w:r>
          </w:p>
        </w:tc>
        <w:tc>
          <w:tcPr>
            <w:tcW w:type="dxa" w:w="2033"/>
            <w:vAlign w:val="top"/>
          </w:tcPr>
          <w:p>
            <w:r/>
            <w:r>
              <w:rPr>
                <w:b w:val="0"/>
                <w:sz w:val="14"/>
              </w:rPr>
              <w:t>Arbeiterrechte benötigen unabhängige Organisation, nicht Vertrauen auf königliche Symbolik.</w:t>
            </w:r>
          </w:p>
        </w:tc>
      </w:tr>
      <w:tr>
        <w:trPr>
          <w:cantSplit/>
        </w:trPr>
        <w:tc>
          <w:tcPr>
            <w:tcW w:type="dxa" w:w="2033"/>
            <w:vAlign w:val="top"/>
          </w:tcPr>
          <w:p>
            <w:r/>
            <w:r>
              <w:rPr>
                <w:b w:val="0"/>
                <w:sz w:val="14"/>
              </w:rPr>
              <w:t>Vereinigtes Königreich</w:t>
            </w:r>
          </w:p>
        </w:tc>
        <w:tc>
          <w:tcPr>
            <w:tcW w:type="dxa" w:w="2033"/>
            <w:vAlign w:val="top"/>
          </w:tcPr>
          <w:p>
            <w:r/>
            <w:r>
              <w:rPr>
                <w:b w:val="0"/>
                <w:sz w:val="14"/>
              </w:rPr>
              <w:t>Crown-in-Parliament; Monarch in moderner Regierungsbildung weitgehend zeremoniell.</w:t>
            </w:r>
          </w:p>
        </w:tc>
        <w:tc>
          <w:tcPr>
            <w:tcW w:type="dxa" w:w="2033"/>
            <w:vAlign w:val="top"/>
          </w:tcPr>
          <w:p>
            <w:r/>
            <w:r>
              <w:rPr>
                <w:b w:val="0"/>
                <w:sz w:val="14"/>
              </w:rPr>
              <w:t>Labour Party; Attlee-Regierung 1945-1951.</w:t>
            </w:r>
          </w:p>
        </w:tc>
        <w:tc>
          <w:tcPr>
            <w:tcW w:type="dxa" w:w="2033"/>
            <w:vAlign w:val="top"/>
          </w:tcPr>
          <w:p>
            <w:r/>
            <w:r>
              <w:rPr>
                <w:b w:val="0"/>
                <w:sz w:val="14"/>
              </w:rPr>
              <w:t>NHS, Ausbau des Wohlfahrtsstaates, Verstaatlichung und Sozialreform erfolgten unter konstitutioneller Monarchie.</w:t>
            </w:r>
          </w:p>
        </w:tc>
        <w:tc>
          <w:tcPr>
            <w:tcW w:type="dxa" w:w="2033"/>
            <w:vAlign w:val="top"/>
          </w:tcPr>
          <w:p>
            <w:r/>
            <w:r>
              <w:rPr>
                <w:b w:val="0"/>
                <w:sz w:val="14"/>
              </w:rPr>
              <w:t>Das Vereinigte Königreich besitzt keine einheitlich kodifizierte Verfassung; Arbeitsrechte bleiben gesetzesbasiert und politisch umkämpft.</w:t>
            </w:r>
          </w:p>
        </w:tc>
      </w:tr>
      <w:tr>
        <w:trPr>
          <w:cantSplit/>
        </w:trPr>
        <w:tc>
          <w:tcPr>
            <w:tcW w:type="dxa" w:w="2033"/>
            <w:vAlign w:val="top"/>
          </w:tcPr>
          <w:p>
            <w:r/>
            <w:r>
              <w:rPr>
                <w:b w:val="0"/>
                <w:sz w:val="14"/>
              </w:rPr>
              <w:t>Schweden</w:t>
            </w:r>
          </w:p>
        </w:tc>
        <w:tc>
          <w:tcPr>
            <w:tcW w:type="dxa" w:w="2033"/>
            <w:vAlign w:val="top"/>
          </w:tcPr>
          <w:p>
            <w:r/>
            <w:r>
              <w:rPr>
                <w:b w:val="0"/>
                <w:sz w:val="14"/>
              </w:rPr>
              <w:t>Parlamentarische Demokratie; König ist unpolitisches Staatsoberhaupt mit zeremoniellen Aufgaben.</w:t>
            </w:r>
          </w:p>
        </w:tc>
        <w:tc>
          <w:tcPr>
            <w:tcW w:type="dxa" w:w="2033"/>
            <w:vAlign w:val="top"/>
          </w:tcPr>
          <w:p>
            <w:r/>
            <w:r>
              <w:rPr>
                <w:b w:val="0"/>
                <w:sz w:val="14"/>
              </w:rPr>
              <w:t>Sozialdemokraten; Vänsterpartiet im Reichstag.</w:t>
            </w:r>
          </w:p>
        </w:tc>
        <w:tc>
          <w:tcPr>
            <w:tcW w:type="dxa" w:w="2033"/>
            <w:vAlign w:val="top"/>
          </w:tcPr>
          <w:p>
            <w:r/>
            <w:r>
              <w:rPr>
                <w:b w:val="0"/>
                <w:sz w:val="14"/>
              </w:rPr>
              <w:t>Linke Parteien konkurrieren, regieren, unterstützen Haushalte und prägen Wohlfahrtspolitik innerhalb des parlamentarischen Systems.</w:t>
            </w:r>
          </w:p>
        </w:tc>
        <w:tc>
          <w:tcPr>
            <w:tcW w:type="dxa" w:w="2033"/>
            <w:vAlign w:val="top"/>
          </w:tcPr>
          <w:p>
            <w:r/>
            <w:r>
              <w:rPr>
                <w:b w:val="0"/>
                <w:sz w:val="14"/>
              </w:rPr>
              <w:t>Republikanische und sozialistische Kritik an der Monarchie kann rechtmäßig im selben System fortbestehen.</w:t>
            </w:r>
          </w:p>
        </w:tc>
      </w:tr>
      <w:tr>
        <w:trPr>
          <w:cantSplit/>
        </w:trPr>
        <w:tc>
          <w:tcPr>
            <w:tcW w:type="dxa" w:w="2033"/>
            <w:vAlign w:val="top"/>
          </w:tcPr>
          <w:p>
            <w:r/>
            <w:r>
              <w:rPr>
                <w:b w:val="0"/>
                <w:sz w:val="14"/>
              </w:rPr>
              <w:t>Dänemark</w:t>
            </w:r>
          </w:p>
        </w:tc>
        <w:tc>
          <w:tcPr>
            <w:tcW w:type="dxa" w:w="2033"/>
            <w:vAlign w:val="top"/>
          </w:tcPr>
          <w:p>
            <w:r/>
            <w:r>
              <w:rPr>
                <w:b w:val="0"/>
                <w:sz w:val="14"/>
              </w:rPr>
              <w:t>Parlamentarische Demokratie mit Mehrparteien-Folketing und Koalitionsverhandlungen.</w:t>
            </w:r>
          </w:p>
        </w:tc>
        <w:tc>
          <w:tcPr>
            <w:tcW w:type="dxa" w:w="2033"/>
            <w:vAlign w:val="top"/>
          </w:tcPr>
          <w:p>
            <w:r/>
            <w:r>
              <w:rPr>
                <w:b w:val="0"/>
                <w:sz w:val="14"/>
              </w:rPr>
              <w:t>Dänische Sozialdemokraten und breitere Arbeiterbewegung.</w:t>
            </w:r>
          </w:p>
        </w:tc>
        <w:tc>
          <w:tcPr>
            <w:tcW w:type="dxa" w:w="2033"/>
            <w:vAlign w:val="top"/>
          </w:tcPr>
          <w:p>
            <w:r/>
            <w:r>
              <w:rPr>
                <w:b w:val="0"/>
                <w:sz w:val="14"/>
              </w:rPr>
              <w:t>Wohlfahrtspolitik und Koalitionsregieren funktionieren innerhalb der konstitutionellen Monarchie.</w:t>
            </w:r>
          </w:p>
        </w:tc>
        <w:tc>
          <w:tcPr>
            <w:tcW w:type="dxa" w:w="2033"/>
            <w:vAlign w:val="top"/>
          </w:tcPr>
          <w:p>
            <w:r/>
            <w:r>
              <w:rPr>
                <w:b w:val="0"/>
                <w:sz w:val="14"/>
              </w:rPr>
              <w:t>Koalitionskompromisse können Klassenpolitik verwässern, wenn Arbeit nicht organisiert bleibt.</w:t>
            </w:r>
          </w:p>
        </w:tc>
      </w:tr>
      <w:tr>
        <w:trPr>
          <w:cantSplit/>
        </w:trPr>
        <w:tc>
          <w:tcPr>
            <w:tcW w:type="dxa" w:w="2033"/>
            <w:vAlign w:val="top"/>
          </w:tcPr>
          <w:p>
            <w:r/>
            <w:r>
              <w:rPr>
                <w:b w:val="0"/>
                <w:sz w:val="14"/>
              </w:rPr>
              <w:t>Spanien</w:t>
            </w:r>
          </w:p>
        </w:tc>
        <w:tc>
          <w:tcPr>
            <w:tcW w:type="dxa" w:w="2033"/>
            <w:vAlign w:val="top"/>
          </w:tcPr>
          <w:p>
            <w:r/>
            <w:r>
              <w:rPr>
                <w:b w:val="0"/>
                <w:sz w:val="14"/>
              </w:rPr>
              <w:t>Verfassung von 1978: sozialer und demokratischer Rechtsstaat, Volkssouveränität, parlamentarische Monarchie.</w:t>
            </w:r>
          </w:p>
        </w:tc>
        <w:tc>
          <w:tcPr>
            <w:tcW w:type="dxa" w:w="2033"/>
            <w:vAlign w:val="top"/>
          </w:tcPr>
          <w:p>
            <w:r/>
            <w:r>
              <w:rPr>
                <w:b w:val="0"/>
                <w:sz w:val="14"/>
              </w:rPr>
              <w:t>PSOE und linke Parteien, die innerhalb der Verfassungsordnung operieren oder sie kritisieren.</w:t>
            </w:r>
          </w:p>
        </w:tc>
        <w:tc>
          <w:tcPr>
            <w:tcW w:type="dxa" w:w="2033"/>
            <w:vAlign w:val="top"/>
          </w:tcPr>
          <w:p>
            <w:r/>
            <w:r>
              <w:rPr>
                <w:b w:val="0"/>
                <w:sz w:val="14"/>
              </w:rPr>
              <w:t>Sozialisten haben innerhalb der Monarchie regiert, während die Verfassungsdebatte fortbesteht.</w:t>
            </w:r>
          </w:p>
        </w:tc>
        <w:tc>
          <w:tcPr>
            <w:tcW w:type="dxa" w:w="2033"/>
            <w:vAlign w:val="top"/>
          </w:tcPr>
          <w:p>
            <w:r/>
            <w:r>
              <w:rPr>
                <w:b w:val="0"/>
                <w:sz w:val="14"/>
              </w:rPr>
              <w:t>Historische Legitimität der Monarchie kann nach autoritärem Übergang umstritten bleiben.</w:t>
            </w:r>
          </w:p>
        </w:tc>
      </w:tr>
      <w:tr>
        <w:trPr>
          <w:cantSplit/>
        </w:trPr>
        <w:tc>
          <w:tcPr>
            <w:tcW w:type="dxa" w:w="2033"/>
            <w:vAlign w:val="top"/>
          </w:tcPr>
          <w:p>
            <w:r/>
            <w:r>
              <w:rPr>
                <w:b w:val="0"/>
                <w:sz w:val="14"/>
              </w:rPr>
              <w:t>Iranischer Oppositionskontext</w:t>
            </w:r>
          </w:p>
        </w:tc>
        <w:tc>
          <w:tcPr>
            <w:tcW w:type="dxa" w:w="2033"/>
            <w:vAlign w:val="top"/>
          </w:tcPr>
          <w:p>
            <w:r/>
            <w:r>
              <w:rPr>
                <w:b w:val="0"/>
                <w:sz w:val="14"/>
              </w:rPr>
              <w:t>Künftige Staatsform ungeklärt; möglicher konstitutioneller Übergangsprozess.</w:t>
            </w:r>
          </w:p>
        </w:tc>
        <w:tc>
          <w:tcPr>
            <w:tcW w:type="dxa" w:w="2033"/>
            <w:vAlign w:val="top"/>
          </w:tcPr>
          <w:p>
            <w:r/>
            <w:r>
              <w:rPr>
                <w:b w:val="0"/>
                <w:sz w:val="14"/>
              </w:rPr>
              <w:t>Sozialisten, Sozialdemokraten, Arbeiterlinke, konstitutionelle Monarchisten und Republikaner.</w:t>
            </w:r>
          </w:p>
        </w:tc>
        <w:tc>
          <w:tcPr>
            <w:tcW w:type="dxa" w:w="2033"/>
            <w:vAlign w:val="top"/>
          </w:tcPr>
          <w:p>
            <w:r/>
            <w:r>
              <w:rPr>
                <w:b w:val="0"/>
                <w:sz w:val="14"/>
              </w:rPr>
              <w:t>Ein demokratischer Pakt kann Kooperation mit einer nationalen Übergangsfigur erlauben und sozialistische Autonomie bewahren.</w:t>
            </w:r>
          </w:p>
        </w:tc>
        <w:tc>
          <w:tcPr>
            <w:tcW w:type="dxa" w:w="2033"/>
            <w:vAlign w:val="top"/>
          </w:tcPr>
          <w:p>
            <w:r/>
            <w:r>
              <w:rPr>
                <w:b w:val="0"/>
                <w:sz w:val="14"/>
              </w:rPr>
              <w:t>Erfordert ausdrückliche Garantien: Säkularismus, freie Parteien, Gewerkschaften, Streiks, Referendum und Übergangsjustiz.</w:t>
            </w:r>
          </w:p>
        </w:tc>
      </w:tr>
    </w:tbl>
    <w:p>
      <w:pPr>
        <w:pStyle w:val="Heading1"/>
        <w:keepNext/>
      </w:pPr>
      <w:r>
        <w:t>Minimale demokratische Garantien für eine sozialistisch-konstitutionelle Koalition</w:t>
      </w:r>
    </w:p>
    <w:tbl>
      <w:tblPr>
        <w:tblStyle w:val="TableGrid"/>
        <w:tblW w:type="auto" w:w="0"/>
        <w:jc w:val="center"/>
        <w:tblLook w:firstColumn="1" w:firstRow="1" w:lastColumn="0" w:lastRow="0" w:noHBand="0" w:noVBand="1" w:val="04A0"/>
      </w:tblPr>
      <w:tblGrid>
        <w:gridCol w:w="3389"/>
        <w:gridCol w:w="3389"/>
        <w:gridCol w:w="3389"/>
      </w:tblGrid>
      <w:tr>
        <w:trPr>
          <w:tblHeader w:val="true"/>
          <w:cantSplit/>
        </w:trPr>
        <w:tc>
          <w:tcPr>
            <w:tcW w:type="dxa" w:w="3389"/>
            <w:vAlign w:val="top"/>
            <w:shd w:fill="E2F0D9"/>
          </w:tcPr>
          <w:p>
            <w:pPr>
              <w:keepNext/>
            </w:pPr>
            <w:r/>
            <w:r>
              <w:rPr>
                <w:b/>
                <w:sz w:val="17"/>
              </w:rPr>
              <w:t>Garantie</w:t>
            </w:r>
          </w:p>
        </w:tc>
        <w:tc>
          <w:tcPr>
            <w:tcW w:type="dxa" w:w="3389"/>
            <w:vAlign w:val="top"/>
            <w:shd w:fill="E2F0D9"/>
          </w:tcPr>
          <w:p>
            <w:pPr>
              <w:keepNext/>
            </w:pPr>
            <w:r/>
            <w:r>
              <w:rPr>
                <w:b/>
                <w:sz w:val="17"/>
              </w:rPr>
              <w:t>Warum sie für Sozialisten wichtig ist</w:t>
            </w:r>
          </w:p>
        </w:tc>
        <w:tc>
          <w:tcPr>
            <w:tcW w:type="dxa" w:w="3389"/>
            <w:vAlign w:val="top"/>
            <w:shd w:fill="E2F0D9"/>
          </w:tcPr>
          <w:p>
            <w:pPr>
              <w:keepNext/>
            </w:pPr>
            <w:r/>
            <w:r>
              <w:rPr>
                <w:b/>
                <w:sz w:val="17"/>
              </w:rPr>
              <w:t>Wie sie die Koalition schützt</w:t>
            </w:r>
          </w:p>
        </w:tc>
      </w:tr>
      <w:tr>
        <w:trPr>
          <w:cantSplit/>
        </w:trPr>
        <w:tc>
          <w:tcPr>
            <w:tcW w:type="dxa" w:w="3389"/>
            <w:vAlign w:val="top"/>
          </w:tcPr>
          <w:p>
            <w:r/>
            <w:r>
              <w:rPr>
                <w:b w:val="0"/>
                <w:sz w:val="16"/>
              </w:rPr>
              <w:t>Volkssouveränität</w:t>
            </w:r>
          </w:p>
        </w:tc>
        <w:tc>
          <w:tcPr>
            <w:tcW w:type="dxa" w:w="3389"/>
            <w:vAlign w:val="top"/>
          </w:tcPr>
          <w:p>
            <w:r/>
            <w:r>
              <w:rPr>
                <w:b w:val="0"/>
                <w:sz w:val="16"/>
              </w:rPr>
              <w:t>Verhindert dynastisches oder elitäres Eigentum am Staat.</w:t>
            </w:r>
          </w:p>
        </w:tc>
        <w:tc>
          <w:tcPr>
            <w:tcW w:type="dxa" w:w="3389"/>
            <w:vAlign w:val="top"/>
          </w:tcPr>
          <w:p>
            <w:r/>
            <w:r>
              <w:rPr>
                <w:b w:val="0"/>
                <w:sz w:val="16"/>
              </w:rPr>
              <w:t>Alle Fraktionen akzeptieren, dass das Volk über die Verfassung entscheidet.</w:t>
            </w:r>
          </w:p>
        </w:tc>
      </w:tr>
      <w:tr>
        <w:trPr>
          <w:cantSplit/>
        </w:trPr>
        <w:tc>
          <w:tcPr>
            <w:tcW w:type="dxa" w:w="3389"/>
            <w:vAlign w:val="top"/>
          </w:tcPr>
          <w:p>
            <w:r/>
            <w:r>
              <w:rPr>
                <w:b w:val="0"/>
                <w:sz w:val="16"/>
              </w:rPr>
              <w:t>Freie Parteien und Wahlen</w:t>
            </w:r>
          </w:p>
        </w:tc>
        <w:tc>
          <w:tcPr>
            <w:tcW w:type="dxa" w:w="3389"/>
            <w:vAlign w:val="top"/>
          </w:tcPr>
          <w:p>
            <w:r/>
            <w:r>
              <w:rPr>
                <w:b w:val="0"/>
                <w:sz w:val="16"/>
              </w:rPr>
              <w:t>Ermöglicht sozialistischen Programmen offenen Wettbewerb.</w:t>
            </w:r>
          </w:p>
        </w:tc>
        <w:tc>
          <w:tcPr>
            <w:tcW w:type="dxa" w:w="3389"/>
            <w:vAlign w:val="top"/>
          </w:tcPr>
          <w:p>
            <w:r/>
            <w:r>
              <w:rPr>
                <w:b w:val="0"/>
                <w:sz w:val="16"/>
              </w:rPr>
              <w:t>Verhindert Ausschluss, Rachepolitik und Monopolisierung.</w:t>
            </w:r>
          </w:p>
        </w:tc>
      </w:tr>
      <w:tr>
        <w:trPr>
          <w:cantSplit/>
        </w:trPr>
        <w:tc>
          <w:tcPr>
            <w:tcW w:type="dxa" w:w="3389"/>
            <w:vAlign w:val="top"/>
          </w:tcPr>
          <w:p>
            <w:r/>
            <w:r>
              <w:rPr>
                <w:b w:val="0"/>
                <w:sz w:val="16"/>
              </w:rPr>
              <w:t>Unabhängige Gewerkschaften</w:t>
            </w:r>
          </w:p>
        </w:tc>
        <w:tc>
          <w:tcPr>
            <w:tcW w:type="dxa" w:w="3389"/>
            <w:vAlign w:val="top"/>
          </w:tcPr>
          <w:p>
            <w:r/>
            <w:r>
              <w:rPr>
                <w:b w:val="0"/>
                <w:sz w:val="16"/>
              </w:rPr>
              <w:t>Gibt Arbeitern autonome soziale Macht.</w:t>
            </w:r>
          </w:p>
        </w:tc>
        <w:tc>
          <w:tcPr>
            <w:tcW w:type="dxa" w:w="3389"/>
            <w:vAlign w:val="top"/>
          </w:tcPr>
          <w:p>
            <w:r/>
            <w:r>
              <w:rPr>
                <w:b w:val="0"/>
                <w:sz w:val="16"/>
              </w:rPr>
              <w:t>Verwandelt Arbeitskonflikt in organisierte Verhandlung.</w:t>
            </w:r>
          </w:p>
        </w:tc>
      </w:tr>
      <w:tr>
        <w:trPr>
          <w:cantSplit/>
        </w:trPr>
        <w:tc>
          <w:tcPr>
            <w:tcW w:type="dxa" w:w="3389"/>
            <w:vAlign w:val="top"/>
          </w:tcPr>
          <w:p>
            <w:r/>
            <w:r>
              <w:rPr>
                <w:b w:val="0"/>
                <w:sz w:val="16"/>
              </w:rPr>
              <w:t>Streikrecht und Tarifverhandlungen</w:t>
            </w:r>
          </w:p>
        </w:tc>
        <w:tc>
          <w:tcPr>
            <w:tcW w:type="dxa" w:w="3389"/>
            <w:vAlign w:val="top"/>
          </w:tcPr>
          <w:p>
            <w:r/>
            <w:r>
              <w:rPr>
                <w:b w:val="0"/>
                <w:sz w:val="16"/>
              </w:rPr>
              <w:t>Schützt Arbeiter in Krise und Ausbeutung.</w:t>
            </w:r>
          </w:p>
        </w:tc>
        <w:tc>
          <w:tcPr>
            <w:tcW w:type="dxa" w:w="3389"/>
            <w:vAlign w:val="top"/>
          </w:tcPr>
          <w:p>
            <w:r/>
            <w:r>
              <w:rPr>
                <w:b w:val="0"/>
                <w:sz w:val="16"/>
              </w:rPr>
              <w:t>Macht sozialen Frieden von Gerechtigkeit abhängig.</w:t>
            </w:r>
          </w:p>
        </w:tc>
      </w:tr>
      <w:tr>
        <w:trPr>
          <w:cantSplit/>
        </w:trPr>
        <w:tc>
          <w:tcPr>
            <w:tcW w:type="dxa" w:w="3389"/>
            <w:vAlign w:val="top"/>
          </w:tcPr>
          <w:p>
            <w:r/>
            <w:r>
              <w:rPr>
                <w:b w:val="0"/>
                <w:sz w:val="16"/>
              </w:rPr>
              <w:t>Soziale Rechte</w:t>
            </w:r>
          </w:p>
        </w:tc>
        <w:tc>
          <w:tcPr>
            <w:tcW w:type="dxa" w:w="3389"/>
            <w:vAlign w:val="top"/>
          </w:tcPr>
          <w:p>
            <w:r/>
            <w:r>
              <w:rPr>
                <w:b w:val="0"/>
                <w:sz w:val="16"/>
              </w:rPr>
              <w:t>Definiert Demokratie materiell und nicht nur prozedural.</w:t>
            </w:r>
          </w:p>
        </w:tc>
        <w:tc>
          <w:tcPr>
            <w:tcW w:type="dxa" w:w="3389"/>
            <w:vAlign w:val="top"/>
          </w:tcPr>
          <w:p>
            <w:r/>
            <w:r>
              <w:rPr>
                <w:b w:val="0"/>
                <w:sz w:val="16"/>
              </w:rPr>
              <w:t>Verknüpft Übergang mit Brot, Wohnen, Gesundheit und Würde.</w:t>
            </w:r>
          </w:p>
        </w:tc>
      </w:tr>
      <w:tr>
        <w:trPr>
          <w:cantSplit/>
        </w:trPr>
        <w:tc>
          <w:tcPr>
            <w:tcW w:type="dxa" w:w="3389"/>
            <w:vAlign w:val="top"/>
          </w:tcPr>
          <w:p>
            <w:r/>
            <w:r>
              <w:rPr>
                <w:b w:val="0"/>
                <w:sz w:val="16"/>
              </w:rPr>
              <w:t>Verfassunggebender Prozess oder Referendum</w:t>
            </w:r>
          </w:p>
        </w:tc>
        <w:tc>
          <w:tcPr>
            <w:tcW w:type="dxa" w:w="3389"/>
            <w:vAlign w:val="top"/>
          </w:tcPr>
          <w:p>
            <w:r/>
            <w:r>
              <w:rPr>
                <w:b w:val="0"/>
                <w:sz w:val="16"/>
              </w:rPr>
              <w:t>Erlaubt republikanischen, monarchistischen und sozialistischen Visionen demokratische Prüfung.</w:t>
            </w:r>
          </w:p>
        </w:tc>
        <w:tc>
          <w:tcPr>
            <w:tcW w:type="dxa" w:w="3389"/>
            <w:vAlign w:val="top"/>
          </w:tcPr>
          <w:p>
            <w:r/>
            <w:r>
              <w:rPr>
                <w:b w:val="0"/>
                <w:sz w:val="16"/>
              </w:rPr>
              <w:t>Begründet Legitimität durch Abstimmung statt Fraktionsgewalt.</w:t>
            </w:r>
          </w:p>
        </w:tc>
      </w:tr>
      <w:tr>
        <w:trPr>
          <w:cantSplit/>
        </w:trPr>
        <w:tc>
          <w:tcPr>
            <w:tcW w:type="dxa" w:w="3389"/>
            <w:vAlign w:val="top"/>
          </w:tcPr>
          <w:p>
            <w:r/>
            <w:r>
              <w:rPr>
                <w:b w:val="0"/>
                <w:sz w:val="16"/>
              </w:rPr>
              <w:t>Übergangsjustiz</w:t>
            </w:r>
          </w:p>
        </w:tc>
        <w:tc>
          <w:tcPr>
            <w:tcW w:type="dxa" w:w="3389"/>
            <w:vAlign w:val="top"/>
          </w:tcPr>
          <w:p>
            <w:r/>
            <w:r>
              <w:rPr>
                <w:b w:val="0"/>
                <w:sz w:val="16"/>
              </w:rPr>
              <w:t>Bearbeitet Repression ohne kollektive Rache.</w:t>
            </w:r>
          </w:p>
        </w:tc>
        <w:tc>
          <w:tcPr>
            <w:tcW w:type="dxa" w:w="3389"/>
            <w:vAlign w:val="top"/>
          </w:tcPr>
          <w:p>
            <w:r/>
            <w:r>
              <w:rPr>
                <w:b w:val="0"/>
                <w:sz w:val="16"/>
              </w:rPr>
              <w:t>Trennt Rechenschaftspflicht von politischen Säuberungen.</w:t>
            </w:r>
          </w:p>
        </w:tc>
      </w:tr>
    </w:tbl>
    <w:p>
      <w:pPr>
        <w:pStyle w:val="Heading1"/>
        <w:keepNext/>
      </w:pPr>
      <w:r>
        <w:t>Referenzen</w:t>
      </w:r>
    </w:p>
    <w:p>
      <w:pPr>
        <w:spacing w:after="40"/>
      </w:pPr>
      <w:r>
        <w:rPr>
          <w:b/>
        </w:rPr>
        <w:t xml:space="preserve">[1] Royal Court of Norway. </w:t>
      </w:r>
      <w:r>
        <w:t xml:space="preserve">Regierungswechsel: Ernennung Christopher Hornsruds 1928 und die erste Arbeiterregierung. </w:t>
      </w:r>
      <w:hyperlink r:id="rId11" w:history="1">
        <w:r>
          <w:rPr>
            <w:color w:val="0000FF"/>
            <w:u w:val="single"/>
          </w:rPr>
          <w:t>https://www.royalcourt.no/the-monarchy/the-king-as-head-of-state/change-of-government</w:t>
        </w:r>
      </w:hyperlink>
    </w:p>
    <w:p>
      <w:pPr>
        <w:spacing w:after="40"/>
      </w:pPr>
      <w:r>
        <w:rPr>
          <w:b/>
        </w:rPr>
        <w:t xml:space="preserve">[2] UK Parliament. </w:t>
      </w:r>
      <w:r>
        <w:t xml:space="preserve">Parlament und Krone: verfassungsrechtliche Rolle der Krone und Regierungsbildung. </w:t>
      </w:r>
      <w:hyperlink r:id="rId12" w:history="1">
        <w:r>
          <w:rPr>
            <w:color w:val="0000FF"/>
            <w:u w:val="single"/>
          </w:rPr>
          <w:t>https://www.parliament.uk/about/how/role/relations-with-other-institutions/parliament-crown/</w:t>
        </w:r>
      </w:hyperlink>
    </w:p>
    <w:p>
      <w:pPr>
        <w:spacing w:after="40"/>
      </w:pPr>
      <w:r>
        <w:rPr>
          <w:b/>
        </w:rPr>
        <w:t xml:space="preserve">[3] GOV.UK. </w:t>
      </w:r>
      <w:r>
        <w:t xml:space="preserve">Geschichte Clement Attlees. </w:t>
      </w:r>
      <w:hyperlink r:id="rId13" w:history="1">
        <w:r>
          <w:rPr>
            <w:color w:val="0000FF"/>
            <w:u w:val="single"/>
          </w:rPr>
          <w:t>https://www.gov.uk/government/history/past-prime-ministers/clement-attlee</w:t>
        </w:r>
      </w:hyperlink>
    </w:p>
    <w:p>
      <w:pPr>
        <w:spacing w:after="40"/>
      </w:pPr>
      <w:r>
        <w:rPr>
          <w:b/>
        </w:rPr>
        <w:t xml:space="preserve">[4] History of Government Blog. </w:t>
      </w:r>
      <w:r>
        <w:t xml:space="preserve">Die Gründung des NHS: 75 Jahre danach. </w:t>
      </w:r>
      <w:hyperlink r:id="rId14" w:history="1">
        <w:r>
          <w:rPr>
            <w:color w:val="0000FF"/>
            <w:u w:val="single"/>
          </w:rPr>
          <w:t>https://history.blog.gov.uk/2023/07/13/the-founding-of-the-nhs-75-years-on/</w:t>
        </w:r>
      </w:hyperlink>
    </w:p>
    <w:p>
      <w:pPr>
        <w:spacing w:after="40"/>
      </w:pPr>
      <w:r>
        <w:rPr>
          <w:b/>
        </w:rPr>
        <w:t xml:space="preserve">[5] Sweden.se. </w:t>
      </w:r>
      <w:r>
        <w:t xml:space="preserve">Schwedische Demokratie und die Rolle des Ministerpräsidenten im Verhältnis zum König. </w:t>
      </w:r>
      <w:hyperlink r:id="rId15" w:history="1">
        <w:r>
          <w:rPr>
            <w:color w:val="0000FF"/>
            <w:u w:val="single"/>
          </w:rPr>
          <w:t>https://sweden.se/life/democracy/swedish-government</w:t>
        </w:r>
      </w:hyperlink>
    </w:p>
    <w:p>
      <w:pPr>
        <w:spacing w:after="40"/>
      </w:pPr>
      <w:r>
        <w:rPr>
          <w:b/>
        </w:rPr>
        <w:t xml:space="preserve">[6] Sveriges Riksdag. </w:t>
      </w:r>
      <w:r>
        <w:t xml:space="preserve">Vänsterpartiet im schwedischen Reichstag. </w:t>
      </w:r>
      <w:hyperlink r:id="rId16" w:history="1">
        <w:r>
          <w:rPr>
            <w:color w:val="0000FF"/>
            <w:u w:val="single"/>
          </w:rPr>
          <w:t>https://www.riksdagen.se/sv/ledamoter-och-partier/partierna/vansterpartiet/</w:t>
        </w:r>
      </w:hyperlink>
    </w:p>
    <w:p>
      <w:pPr>
        <w:spacing w:after="40"/>
      </w:pPr>
      <w:r>
        <w:rPr>
          <w:b/>
        </w:rPr>
        <w:t xml:space="preserve">[7] Norwegian Labour Party. </w:t>
      </w:r>
      <w:r>
        <w:t xml:space="preserve">Information in English: kurze Parteigeschichte. </w:t>
      </w:r>
      <w:hyperlink r:id="rId17" w:history="1">
        <w:r>
          <w:rPr>
            <w:color w:val="0000FF"/>
            <w:u w:val="single"/>
          </w:rPr>
          <w:t>https://www.arbeiderpartiet.no/om/information-in-english/</w:t>
        </w:r>
      </w:hyperlink>
    </w:p>
    <w:p>
      <w:pPr>
        <w:spacing w:after="40"/>
      </w:pPr>
      <w:r>
        <w:rPr>
          <w:b/>
        </w:rPr>
        <w:t xml:space="preserve">[8] Norwegian Government. </w:t>
      </w:r>
      <w:r>
        <w:t xml:space="preserve">Wie Norwegen regiert wird. </w:t>
      </w:r>
      <w:hyperlink r:id="rId18" w:history="1">
        <w:r>
          <w:rPr>
            <w:color w:val="0000FF"/>
            <w:u w:val="single"/>
          </w:rPr>
          <w:t>https://www.regjeringen.no/en/the-government/id443314/</w:t>
        </w:r>
      </w:hyperlink>
    </w:p>
    <w:p>
      <w:pPr>
        <w:spacing w:after="40"/>
      </w:pPr>
      <w:r>
        <w:rPr>
          <w:b/>
        </w:rPr>
        <w:t xml:space="preserve">[9] Denmark.dk. </w:t>
      </w:r>
      <w:r>
        <w:t xml:space="preserve">Die dänische Regierung: parlamentarische Demokratie und Koalitionspolitik. </w:t>
      </w:r>
      <w:hyperlink r:id="rId19" w:history="1">
        <w:r>
          <w:rPr>
            <w:color w:val="0000FF"/>
            <w:u w:val="single"/>
          </w:rPr>
          <w:t>https://denmark.dk/society-and-business/government-and-politics</w:t>
        </w:r>
      </w:hyperlink>
    </w:p>
    <w:p>
      <w:pPr>
        <w:spacing w:after="40"/>
      </w:pPr>
      <w:r>
        <w:rPr>
          <w:b/>
        </w:rPr>
        <w:t xml:space="preserve">[10] Government of Spain / La Moncloa. </w:t>
      </w:r>
      <w:r>
        <w:t xml:space="preserve">Institutionen Spaniens und Artikel 1 der Verfassung von 1978. </w:t>
      </w:r>
      <w:hyperlink r:id="rId20" w:history="1">
        <w:r>
          <w:rPr>
            <w:color w:val="0000FF"/>
            <w:u w:val="single"/>
          </w:rPr>
          <w:t>https://www.lamoncloa.gob.es/lang/en/espana/spanishinstitutions/paginas/index.aspx</w:t>
        </w:r>
      </w:hyperlink>
    </w:p>
    <w:p>
      <w:pPr>
        <w:spacing w:after="40"/>
      </w:pPr>
      <w:r>
        <w:rPr>
          <w:b/>
        </w:rPr>
        <w:t xml:space="preserve">[11] OHCHR. </w:t>
      </w:r>
      <w:r>
        <w:t xml:space="preserve">Internationaler Pakt über wirtschaftliche, soziale und kulturelle Rechte, Artikel 8. </w:t>
      </w:r>
      <w:hyperlink r:id="rId21" w:history="1">
        <w:r>
          <w:rPr>
            <w:color w:val="0000FF"/>
            <w:u w:val="single"/>
          </w:rPr>
          <w:t>https://www.ohchr.org/en/instruments-mechanisms/instruments/international-covenant-economic-social-and-cultural-rights</w:t>
        </w:r>
      </w:hyperlink>
    </w:p>
    <w:p>
      <w:pPr>
        <w:spacing w:after="40"/>
      </w:pPr>
      <w:r>
        <w:rPr>
          <w:b/>
        </w:rPr>
        <w:t xml:space="preserve">[12] House of Commons Library. </w:t>
      </w:r>
      <w:r>
        <w:t xml:space="preserve">Briefing zu Gewerkschaften und Arbeitsbeziehungen. </w:t>
      </w:r>
      <w:hyperlink r:id="rId22" w:history="1">
        <w:r>
          <w:rPr>
            <w:color w:val="0000FF"/>
            <w:u w:val="single"/>
          </w:rPr>
          <w:t>https://commonslibrary.parliament.uk/research-briefings/cbp-9785/</w:t>
        </w:r>
      </w:hyperlink>
    </w:p>
    <w:p>
      <w:pPr>
        <w:spacing w:after="40"/>
      </w:pPr>
      <w:r>
        <w:rPr>
          <w:b/>
        </w:rPr>
        <w:t xml:space="preserve">[13] Reza Pahlavi Official Website. </w:t>
      </w:r>
      <w:r>
        <w:t xml:space="preserve">Offizielle Website: Einsatz für einen säkular-demokratischen Iran. </w:t>
      </w:r>
      <w:hyperlink r:id="rId23" w:history="1">
        <w:r>
          <w:rPr>
            <w:color w:val="0000FF"/>
            <w:u w:val="single"/>
          </w:rPr>
          <w:t>https://rezapahlavi.org/en</w:t>
        </w:r>
      </w:hyperlink>
    </w:p>
    <w:p>
      <w:pPr>
        <w:spacing w:after="40"/>
      </w:pPr>
      <w:r>
        <w:rPr>
          <w:b/>
        </w:rPr>
        <w:t xml:space="preserve">[14] Reza Pahlavi Official Website. </w:t>
      </w:r>
      <w:r>
        <w:t xml:space="preserve">Grundsatzrede zum Iran Prosperity Project. </w:t>
      </w:r>
      <w:hyperlink r:id="rId24" w:history="1">
        <w:r>
          <w:rPr>
            <w:color w:val="0000FF"/>
            <w:u w:val="single"/>
          </w:rPr>
          <w:t>https://rezapahlavi.org/en/statements/iran-prosperity-project-ipp-keynote-remarks</w:t>
        </w:r>
      </w:hyperlink>
    </w:p>
    <w:p>
      <w:pPr>
        <w:spacing w:after="40"/>
      </w:pPr>
      <w:r>
        <w:rPr>
          <w:b/>
        </w:rPr>
        <w:t xml:space="preserve">[15] Socialist International. </w:t>
      </w:r>
      <w:r>
        <w:t xml:space="preserve">Grundsatzerklärung: demokratischer Sozialismus und Demokratie. </w:t>
      </w:r>
      <w:hyperlink r:id="rId25" w:history="1">
        <w:r>
          <w:rPr>
            <w:color w:val="0000FF"/>
            <w:u w:val="single"/>
          </w:rPr>
          <w:t>https://www.socialistinternational.org/congresses/xviii-stockholm/the-declaration-of-principles-of-the-socialist-international/</w:t>
        </w:r>
      </w:hyperlink>
    </w:p>
    <w:p>
      <w:pPr>
        <w:spacing w:before="160"/>
      </w:pPr>
      <w:r>
        <w:rPr>
          <w:b/>
        </w:rPr>
        <w:t xml:space="preserve">Methodische Anmerkung: </w:t>
      </w:r>
      <w:r>
        <w:t>Dieser Essay ist ein analytisches und vergleichendes Dokument. Er befürwortet keine Partei, keinen Politiker, keine Staatsform und kein bestimmtes verfassungsrechtliches Ergebnis. Sein Zweck besteht darin, historische Präzedenzfälle und demokratische Bedingungen darzustellen, unter denen sozialistische Beteiligung innerhalb eines konstitutionell-monarchischen Rahmens stattgefunden hat oder stattfinden könnte.</w:t>
      </w:r>
    </w:p>
    <w:sectPr w:rsidR="00FC693F" w:rsidRPr="0006063C" w:rsidSect="00034616">
      <w:headerReference w:type="default" r:id="rId9"/>
      <w:footerReference w:type="default" r:id="rId10"/>
      <w:pgSz w:w="12240" w:h="15840"/>
      <w:pgMar w:top="1008"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Deutsche Übersetzung | Mai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646464"/>
        <w:sz w:val="16"/>
      </w:rPr>
      <w:t>Sozialisten und konstitutionelle Monarchie | Vergleichende politische Analyse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royalcourt.no/the-monarchy/the-king-as-head-of-state/change-of-government" TargetMode="External"/><Relationship Id="rId12" Type="http://schemas.openxmlformats.org/officeDocument/2006/relationships/hyperlink" Target="https://www.parliament.uk/about/how/role/relations-with-other-institutions/parliament-crown/" TargetMode="External"/><Relationship Id="rId13" Type="http://schemas.openxmlformats.org/officeDocument/2006/relationships/hyperlink" Target="https://www.gov.uk/government/history/past-prime-ministers/clement-attlee" TargetMode="External"/><Relationship Id="rId14" Type="http://schemas.openxmlformats.org/officeDocument/2006/relationships/hyperlink" Target="https://history.blog.gov.uk/2023/07/13/the-founding-of-the-nhs-75-years-on/" TargetMode="External"/><Relationship Id="rId15" Type="http://schemas.openxmlformats.org/officeDocument/2006/relationships/hyperlink" Target="https://sweden.se/life/democracy/swedish-government" TargetMode="External"/><Relationship Id="rId16" Type="http://schemas.openxmlformats.org/officeDocument/2006/relationships/hyperlink" Target="https://www.riksdagen.se/sv/ledamoter-och-partier/partierna/vansterpartiet/" TargetMode="External"/><Relationship Id="rId17" Type="http://schemas.openxmlformats.org/officeDocument/2006/relationships/hyperlink" Target="https://www.arbeiderpartiet.no/om/information-in-english/" TargetMode="External"/><Relationship Id="rId18" Type="http://schemas.openxmlformats.org/officeDocument/2006/relationships/hyperlink" Target="https://www.regjeringen.no/en/the-government/id443314/" TargetMode="External"/><Relationship Id="rId19" Type="http://schemas.openxmlformats.org/officeDocument/2006/relationships/hyperlink" Target="https://denmark.dk/society-and-business/government-and-politics" TargetMode="External"/><Relationship Id="rId20" Type="http://schemas.openxmlformats.org/officeDocument/2006/relationships/hyperlink" Target="https://www.lamoncloa.gob.es/lang/en/espana/spanishinstitutions/paginas/index.aspx" TargetMode="External"/><Relationship Id="rId21" Type="http://schemas.openxmlformats.org/officeDocument/2006/relationships/hyperlink" Target="https://www.ohchr.org/en/instruments-mechanisms/instruments/international-covenant-economic-social-and-cultural-rights" TargetMode="External"/><Relationship Id="rId22" Type="http://schemas.openxmlformats.org/officeDocument/2006/relationships/hyperlink" Target="https://commonslibrary.parliament.uk/research-briefings/cbp-9785/" TargetMode="External"/><Relationship Id="rId23" Type="http://schemas.openxmlformats.org/officeDocument/2006/relationships/hyperlink" Target="https://rezapahlavi.org/en" TargetMode="External"/><Relationship Id="rId24" Type="http://schemas.openxmlformats.org/officeDocument/2006/relationships/hyperlink" Target="https://rezapahlavi.org/en/statements/iran-prosperity-project-ipp-keynote-remarks" TargetMode="External"/><Relationship Id="rId25" Type="http://schemas.openxmlformats.org/officeDocument/2006/relationships/hyperlink" Target="https://www.socialistinternational.org/congresses/xviii-stockholm/the-declaration-of-principles-of-the-socialist-internation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