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40"/>
        </w:rPr>
        <w:t>Narrative and Diagnostic Analysis of Crown Prince Reza Pahlavi’s Transitional Leadership Prospects</w:t>
      </w:r>
    </w:p>
    <w:p>
      <w:pPr>
        <w:jc w:val="center"/>
      </w:pPr>
      <w:r>
        <w:rPr>
          <w:i/>
          <w:sz w:val="22"/>
        </w:rPr>
        <w:t>A neutral factor-based assessment of supportive conditions, obstacles, coalition-building requirements, and a potential diaspora bridge-building role</w:t>
      </w:r>
    </w:p>
    <w:p/>
    <w:p>
      <w:pPr>
        <w:jc w:val="center"/>
      </w:pPr>
      <w:r>
        <w:rPr>
          <w:b/>
        </w:rPr>
        <w:t>Prepared for: Mr Peyman Bakhshayesh, MD, PhD, MBA</w:t>
      </w:r>
    </w:p>
    <w:p>
      <w:pPr>
        <w:jc w:val="center"/>
      </w:pPr>
      <w:r>
        <w:t>Consultant Trauma and Orthopaedic Surgeon; diaspora political activist and civic participant</w:t>
      </w:r>
    </w:p>
    <w:p>
      <w:pPr>
        <w:jc w:val="center"/>
      </w:pPr>
      <w:r>
        <w:t>Date: 19 May 2026</w:t>
      </w:r>
    </w:p>
    <w:p/>
    <w:tbl>
      <w:tblPr>
        <w:tblW w:type="auto" w:w="0"/>
        <w:jc w:val="center"/>
        <w:tblLook w:firstColumn="1" w:firstRow="1" w:lastColumn="0" w:lastRow="0" w:noHBand="0" w:noVBand="1" w:val="04A0"/>
      </w:tblPr>
      <w:tblGrid>
        <w:gridCol w:w="10080"/>
      </w:tblGrid>
      <w:tr>
        <w:tc>
          <w:tcPr>
            <w:tcW w:type="dxa" w:w="10080"/>
            <w:shd w:fill="EAF2F8"/>
            <w:vAlign w:val="top"/>
          </w:tcPr>
          <w:p>
            <w:pPr>
              <w:spacing w:after="40"/>
            </w:pPr>
            <w:r/>
            <w:r>
              <w:rPr>
                <w:b w:val="0"/>
                <w:sz w:val="18"/>
              </w:rPr>
              <w:t>Methodological note: This paper is not an endorsement of any political actor, party, system of government, or foreign intervention. It uses a diagnostic framework to identify factors that may support or obstruct a transitional leadership claim. The point system is evidentiary and strategic, not electoral, moral, or prescriptive.</w:t>
            </w:r>
          </w:p>
        </w:tc>
      </w:tr>
    </w:tbl>
    <w:p>
      <w:pPr>
        <w:pStyle w:val="Heading1"/>
      </w:pPr>
      <w:r>
        <w:t>Executive Summary</w:t>
      </w:r>
    </w:p>
    <w:p>
      <w:r>
        <w:t>The Islamic Republic’s present legitimacy crisis appears to be driven by a convergence of internal repression, economic distress, militarised governance, regional escalation, nuclear confrontation, and the continued fragmentation of Iranian opposition politics. Current reporting and official statements describe a severe post-January human-rights crisis, a US-Israel-Iran conflict and ceasefire framework, contested nuclear and missile negotiations, and the Strait of Hormuz as a major strategic pressure point.</w:t>
      </w:r>
    </w:p>
    <w:p>
      <w:r>
        <w:t>Crown Prince Reza Pahlavi occupies a distinctive position: he is one of the most internationally visible Iranian opposition figures and carries a name associated by supporters with state-building, modernisation and national continuity. At the same time, the Pahlavi name also triggers unresolved historical questions about authoritarianism, SAVAK, political prisoners, Evin prison, the causes of the 1979 revolution, and the legitimacy of dynastic symbolism in a democratic transition.</w:t>
      </w:r>
    </w:p>
    <w:p>
      <w:r>
        <w:t>The central strategic tension is therefore not simply whether Pahlavi has visibility. It is whether visibility can be converted into a broad, credible, pluralistic, non-sectarian, rights-based, and institution-centred transitional architecture. His prospects improve if he is understood as a national reconciliation figure above party politics; they deteriorate if his movement is perceived as factional, exclusionary, revenge-driven, externally dependent, or aligned only with right-wing constituencies in Europe and North America.</w:t>
      </w:r>
    </w:p>
    <w:p>
      <w:r>
        <w:t>The most important coalition problem is the relationship between pro-Pahlavi nationalism and the non-hardline left, social democrats, labour activists, ethnic political organisations, republican democrats, liberals, women’s-rights activists, and civil-society networks. A successful transition would require mechanisms that reassure these constituencies that a post-Islamic Republic order would protect pluralism, trade-union rights, language and cultural rights, free parties, free elections, and equal citizenship.</w:t>
      </w:r>
    </w:p>
    <w:p>
      <w:r>
        <w:t>Your potential role can be framed as a bridge-builder rather than a factional propagandist: someone with professional credibility in the United Kingdom, previous experience inside the left, knowledge of Marxist and socialist vocabulary, and an interest in translating pro-Pahlavi national-reconciliation language into terms that moderate leftists, social democrats, labour activists, and ethnic groups can engage with without humiliation or ideological surrender.</w:t>
      </w:r>
    </w:p>
    <w:p>
      <w:r>
        <w:rPr>
          <w:b/>
        </w:rPr>
        <w:t xml:space="preserve">Key factual anchors used in this paper: </w:t>
      </w:r>
      <w:r>
        <w:t>UK House of Commons Library briefing on US-Iran ceasefire and nuclear talks; Reuters reporting on the US-Iran deadlock and Reza Pahlavi’s Munich statements; Euronews reporting on European Parliament invitation dynamics; UK Government statement at the UN Human Rights Council; Amnesty International reporting on repression; Le Monde interview with UN Special Rapporteur Mai Sato; and Reza Pahlavi’s official website description of his principles and democratic-transition framing.</w:t>
      </w:r>
    </w:p>
    <w:p>
      <w:pPr>
        <w:pStyle w:val="Heading1"/>
      </w:pPr>
      <w:r>
        <w:t>1. Scope and Methodology</w:t>
      </w:r>
    </w:p>
    <w:p>
      <w:r>
        <w:t>This analysis uses a structured narrative method. It separates context, leadership assets, leadership liabilities, coalition dynamics, external-diplomatic constraints, and practical transition requirements. It also distinguishes between:</w:t>
      </w:r>
    </w:p>
    <w:p>
      <w:pPr>
        <w:pStyle w:val="ListBullet"/>
      </w:pPr>
      <w:r>
        <w:t>Evidence confidence: how well a factor is supported by public reporting or official statements.</w:t>
      </w:r>
    </w:p>
    <w:p>
      <w:pPr>
        <w:pStyle w:val="ListBullet"/>
      </w:pPr>
      <w:r>
        <w:t>Strategic relevance: how much the factor could plausibly affect a transitional leadership project.</w:t>
      </w:r>
    </w:p>
    <w:p>
      <w:pPr>
        <w:pStyle w:val="ListBullet"/>
      </w:pPr>
      <w:r>
        <w:t>Direction of effect: whether the factor is supportive, obstructive, or conditional.</w:t>
      </w:r>
    </w:p>
    <w:p>
      <w:pPr>
        <w:pStyle w:val="ListBullet"/>
      </w:pPr>
      <w:r>
        <w:t>Actionability: whether a diaspora civic actor can plausibly influence the factor without coercion, incitement, or factional intimidation.</w:t>
      </w:r>
    </w:p>
    <w:p>
      <w:r>
        <w:t>The point system below is deliberately diagnostic rather than predictive. It does not assign an electoral probability or endorse any leadership claim. Scores are used only to make assumptions explicit.</w:t>
      </w:r>
    </w:p>
    <w:p>
      <w:pPr>
        <w:pStyle w:val="Heading2"/>
      </w:pPr>
      <w:r>
        <w:t>Diagnostic Point System</w:t>
      </w:r>
    </w:p>
    <w:tbl>
      <w:tblPr>
        <w:tblW w:type="auto" w:w="0"/>
        <w:jc w:val="center"/>
        <w:tblLook w:firstColumn="1" w:firstRow="1" w:lastColumn="0" w:lastRow="0" w:noHBand="0" w:noVBand="1" w:val="04A0"/>
      </w:tblPr>
      <w:tblGrid>
        <w:gridCol w:w="2520"/>
        <w:gridCol w:w="2520"/>
        <w:gridCol w:w="2520"/>
        <w:gridCol w:w="2520"/>
      </w:tblGrid>
      <w:tr>
        <w:tc>
          <w:tcPr>
            <w:tcW w:type="dxa" w:w="2520"/>
            <w:vAlign w:val="top"/>
            <w:shd w:fill="1F4E79"/>
          </w:tcPr>
          <w:p>
            <w:pPr>
              <w:spacing w:after="40"/>
            </w:pPr>
            <w:r/>
            <w:r>
              <w:rPr>
                <w:b/>
                <w:sz w:val="17"/>
              </w:rPr>
              <w:t>Score</w:t>
            </w:r>
          </w:p>
        </w:tc>
        <w:tc>
          <w:tcPr>
            <w:tcW w:type="dxa" w:w="2520"/>
            <w:vAlign w:val="top"/>
            <w:shd w:fill="1F4E79"/>
          </w:tcPr>
          <w:p>
            <w:pPr>
              <w:spacing w:after="40"/>
            </w:pPr>
            <w:r/>
            <w:r>
              <w:rPr>
                <w:b/>
                <w:sz w:val="17"/>
              </w:rPr>
              <w:t>Evidence confidence</w:t>
            </w:r>
          </w:p>
        </w:tc>
        <w:tc>
          <w:tcPr>
            <w:tcW w:type="dxa" w:w="2520"/>
            <w:vAlign w:val="top"/>
            <w:shd w:fill="1F4E79"/>
          </w:tcPr>
          <w:p>
            <w:pPr>
              <w:spacing w:after="40"/>
            </w:pPr>
            <w:r/>
            <w:r>
              <w:rPr>
                <w:b/>
                <w:sz w:val="17"/>
              </w:rPr>
              <w:t>Strategic relevance</w:t>
            </w:r>
          </w:p>
        </w:tc>
        <w:tc>
          <w:tcPr>
            <w:tcW w:type="dxa" w:w="2520"/>
            <w:vAlign w:val="top"/>
            <w:shd w:fill="1F4E79"/>
          </w:tcPr>
          <w:p>
            <w:pPr>
              <w:spacing w:after="40"/>
            </w:pPr>
            <w:r/>
            <w:r>
              <w:rPr>
                <w:b/>
                <w:sz w:val="17"/>
              </w:rPr>
              <w:t>Interpretation</w:t>
            </w:r>
          </w:p>
        </w:tc>
      </w:tr>
      <w:tr>
        <w:tc>
          <w:tcPr>
            <w:tcW w:type="dxa" w:w="2520"/>
            <w:vAlign w:val="top"/>
          </w:tcPr>
          <w:p>
            <w:pPr>
              <w:spacing w:after="40"/>
            </w:pPr>
            <w:r/>
            <w:r>
              <w:rPr>
                <w:b w:val="0"/>
                <w:sz w:val="16"/>
              </w:rPr>
              <w:t>0</w:t>
            </w:r>
          </w:p>
        </w:tc>
        <w:tc>
          <w:tcPr>
            <w:tcW w:type="dxa" w:w="2520"/>
            <w:vAlign w:val="top"/>
          </w:tcPr>
          <w:p>
            <w:pPr>
              <w:spacing w:after="40"/>
            </w:pPr>
            <w:r/>
            <w:r>
              <w:rPr>
                <w:b w:val="0"/>
                <w:sz w:val="16"/>
              </w:rPr>
              <w:t>Not publicly evidenced or too speculative</w:t>
            </w:r>
          </w:p>
        </w:tc>
        <w:tc>
          <w:tcPr>
            <w:tcW w:type="dxa" w:w="2520"/>
            <w:vAlign w:val="top"/>
          </w:tcPr>
          <w:p>
            <w:pPr>
              <w:spacing w:after="40"/>
            </w:pPr>
            <w:r/>
            <w:r>
              <w:rPr>
                <w:b w:val="0"/>
                <w:sz w:val="16"/>
              </w:rPr>
              <w:t>Low</w:t>
            </w:r>
          </w:p>
        </w:tc>
        <w:tc>
          <w:tcPr>
            <w:tcW w:type="dxa" w:w="2520"/>
            <w:vAlign w:val="top"/>
          </w:tcPr>
          <w:p>
            <w:pPr>
              <w:spacing w:after="40"/>
            </w:pPr>
            <w:r/>
            <w:r>
              <w:rPr>
                <w:b w:val="0"/>
                <w:sz w:val="16"/>
              </w:rPr>
              <w:t>Do not rely on it in public strategy.</w:t>
            </w:r>
          </w:p>
        </w:tc>
      </w:tr>
      <w:tr>
        <w:tc>
          <w:tcPr>
            <w:tcW w:type="dxa" w:w="2520"/>
            <w:vAlign w:val="top"/>
          </w:tcPr>
          <w:p>
            <w:pPr>
              <w:spacing w:after="40"/>
            </w:pPr>
            <w:r/>
            <w:r>
              <w:rPr>
                <w:b w:val="0"/>
                <w:sz w:val="16"/>
              </w:rPr>
              <w:t>1</w:t>
            </w:r>
          </w:p>
        </w:tc>
        <w:tc>
          <w:tcPr>
            <w:tcW w:type="dxa" w:w="2520"/>
            <w:vAlign w:val="top"/>
          </w:tcPr>
          <w:p>
            <w:pPr>
              <w:spacing w:after="40"/>
            </w:pPr>
            <w:r/>
            <w:r>
              <w:rPr>
                <w:b w:val="0"/>
                <w:sz w:val="16"/>
              </w:rPr>
              <w:t>Limited or contested evidence</w:t>
            </w:r>
          </w:p>
        </w:tc>
        <w:tc>
          <w:tcPr>
            <w:tcW w:type="dxa" w:w="2520"/>
            <w:vAlign w:val="top"/>
          </w:tcPr>
          <w:p>
            <w:pPr>
              <w:spacing w:after="40"/>
            </w:pPr>
            <w:r/>
            <w:r>
              <w:rPr>
                <w:b w:val="0"/>
                <w:sz w:val="16"/>
              </w:rPr>
              <w:t>Low to moderate</w:t>
            </w:r>
          </w:p>
        </w:tc>
        <w:tc>
          <w:tcPr>
            <w:tcW w:type="dxa" w:w="2520"/>
            <w:vAlign w:val="top"/>
          </w:tcPr>
          <w:p>
            <w:pPr>
              <w:spacing w:after="40"/>
            </w:pPr>
            <w:r/>
            <w:r>
              <w:rPr>
                <w:b w:val="0"/>
                <w:sz w:val="16"/>
              </w:rPr>
              <w:t>Use cautiously; requires corroboration.</w:t>
            </w:r>
          </w:p>
        </w:tc>
      </w:tr>
      <w:tr>
        <w:tc>
          <w:tcPr>
            <w:tcW w:type="dxa" w:w="2520"/>
            <w:vAlign w:val="top"/>
          </w:tcPr>
          <w:p>
            <w:pPr>
              <w:spacing w:after="40"/>
            </w:pPr>
            <w:r/>
            <w:r>
              <w:rPr>
                <w:b w:val="0"/>
                <w:sz w:val="16"/>
              </w:rPr>
              <w:t>2</w:t>
            </w:r>
          </w:p>
        </w:tc>
        <w:tc>
          <w:tcPr>
            <w:tcW w:type="dxa" w:w="2520"/>
            <w:vAlign w:val="top"/>
          </w:tcPr>
          <w:p>
            <w:pPr>
              <w:spacing w:after="40"/>
            </w:pPr>
            <w:r/>
            <w:r>
              <w:rPr>
                <w:b w:val="0"/>
                <w:sz w:val="16"/>
              </w:rPr>
              <w:t>Reasonably evidenced by credible reporting or official sources</w:t>
            </w:r>
          </w:p>
        </w:tc>
        <w:tc>
          <w:tcPr>
            <w:tcW w:type="dxa" w:w="2520"/>
            <w:vAlign w:val="top"/>
          </w:tcPr>
          <w:p>
            <w:pPr>
              <w:spacing w:after="40"/>
            </w:pPr>
            <w:r/>
            <w:r>
              <w:rPr>
                <w:b w:val="0"/>
                <w:sz w:val="16"/>
              </w:rPr>
              <w:t>Moderate</w:t>
            </w:r>
          </w:p>
        </w:tc>
        <w:tc>
          <w:tcPr>
            <w:tcW w:type="dxa" w:w="2520"/>
            <w:vAlign w:val="top"/>
          </w:tcPr>
          <w:p>
            <w:pPr>
              <w:spacing w:after="40"/>
            </w:pPr>
            <w:r/>
            <w:r>
              <w:rPr>
                <w:b w:val="0"/>
                <w:sz w:val="16"/>
              </w:rPr>
              <w:t>Relevant, but not decisive alone.</w:t>
            </w:r>
          </w:p>
        </w:tc>
      </w:tr>
      <w:tr>
        <w:tc>
          <w:tcPr>
            <w:tcW w:type="dxa" w:w="2520"/>
            <w:vAlign w:val="top"/>
          </w:tcPr>
          <w:p>
            <w:pPr>
              <w:spacing w:after="40"/>
            </w:pPr>
            <w:r/>
            <w:r>
              <w:rPr>
                <w:b w:val="0"/>
                <w:sz w:val="16"/>
              </w:rPr>
              <w:t>3</w:t>
            </w:r>
          </w:p>
        </w:tc>
        <w:tc>
          <w:tcPr>
            <w:tcW w:type="dxa" w:w="2520"/>
            <w:vAlign w:val="top"/>
          </w:tcPr>
          <w:p>
            <w:pPr>
              <w:spacing w:after="40"/>
            </w:pPr>
            <w:r/>
            <w:r>
              <w:rPr>
                <w:b w:val="0"/>
                <w:sz w:val="16"/>
              </w:rPr>
              <w:t>Strongly evidenced and repeatedly visible</w:t>
            </w:r>
          </w:p>
        </w:tc>
        <w:tc>
          <w:tcPr>
            <w:tcW w:type="dxa" w:w="2520"/>
            <w:vAlign w:val="top"/>
          </w:tcPr>
          <w:p>
            <w:pPr>
              <w:spacing w:after="40"/>
            </w:pPr>
            <w:r/>
            <w:r>
              <w:rPr>
                <w:b w:val="0"/>
                <w:sz w:val="16"/>
              </w:rPr>
              <w:t>High</w:t>
            </w:r>
          </w:p>
        </w:tc>
        <w:tc>
          <w:tcPr>
            <w:tcW w:type="dxa" w:w="2520"/>
            <w:vAlign w:val="top"/>
          </w:tcPr>
          <w:p>
            <w:pPr>
              <w:spacing w:after="40"/>
            </w:pPr>
            <w:r/>
            <w:r>
              <w:rPr>
                <w:b w:val="0"/>
                <w:sz w:val="16"/>
              </w:rPr>
              <w:t>Core factor in strategic planning.</w:t>
            </w:r>
          </w:p>
        </w:tc>
      </w:tr>
    </w:tbl>
    <w:p>
      <w:pPr>
        <w:pStyle w:val="Heading1"/>
      </w:pPr>
      <w:r>
        <w:t>2. Strategic Context: Why the Transition Question Has Intensified</w:t>
      </w:r>
    </w:p>
    <w:p>
      <w:r>
        <w:t>The current environment is characterised by the simultaneous weakening and hardening of the Islamic Republic. Weakening arises from legitimacy loss, economic strain, high inflation, human-rights condemnation, regional isolation, sanctions, and military damage. Hardening arises from security decentralisation, repression, ideological survival reflexes, and the regime’s ability to transform from a normal state apparatus into a more insurgent, militia-based structure.</w:t>
      </w:r>
    </w:p>
    <w:tbl>
      <w:tblPr>
        <w:tblW w:type="auto" w:w="0"/>
        <w:jc w:val="center"/>
        <w:tblLook w:firstColumn="1" w:firstRow="1" w:lastColumn="0" w:lastRow="0" w:noHBand="0" w:noVBand="1" w:val="04A0"/>
      </w:tblPr>
      <w:tblGrid>
        <w:gridCol w:w="2016"/>
        <w:gridCol w:w="2016"/>
        <w:gridCol w:w="2016"/>
        <w:gridCol w:w="2016"/>
        <w:gridCol w:w="2016"/>
      </w:tblGrid>
      <w:tr>
        <w:tc>
          <w:tcPr>
            <w:tcW w:type="dxa" w:w="2016"/>
            <w:vAlign w:val="top"/>
            <w:shd w:fill="1F4E79"/>
          </w:tcPr>
          <w:p>
            <w:pPr>
              <w:spacing w:after="40"/>
            </w:pPr>
            <w:r/>
            <w:r>
              <w:rPr>
                <w:b/>
                <w:sz w:val="16"/>
              </w:rPr>
              <w:t>Context factor</w:t>
            </w:r>
          </w:p>
        </w:tc>
        <w:tc>
          <w:tcPr>
            <w:tcW w:type="dxa" w:w="2016"/>
            <w:vAlign w:val="top"/>
            <w:shd w:fill="1F4E79"/>
          </w:tcPr>
          <w:p>
            <w:pPr>
              <w:spacing w:after="40"/>
            </w:pPr>
            <w:r/>
            <w:r>
              <w:rPr>
                <w:b/>
                <w:sz w:val="16"/>
              </w:rPr>
              <w:t>Analytical meaning</w:t>
            </w:r>
          </w:p>
        </w:tc>
        <w:tc>
          <w:tcPr>
            <w:tcW w:type="dxa" w:w="2016"/>
            <w:vAlign w:val="top"/>
            <w:shd w:fill="1F4E79"/>
          </w:tcPr>
          <w:p>
            <w:pPr>
              <w:spacing w:after="40"/>
            </w:pPr>
            <w:r/>
            <w:r>
              <w:rPr>
                <w:b/>
                <w:sz w:val="16"/>
              </w:rPr>
              <w:t>Effect on transition</w:t>
            </w:r>
          </w:p>
        </w:tc>
        <w:tc>
          <w:tcPr>
            <w:tcW w:type="dxa" w:w="2016"/>
            <w:vAlign w:val="top"/>
            <w:shd w:fill="1F4E79"/>
          </w:tcPr>
          <w:p>
            <w:pPr>
              <w:spacing w:after="40"/>
            </w:pPr>
            <w:r/>
            <w:r>
              <w:rPr>
                <w:b/>
                <w:sz w:val="16"/>
              </w:rPr>
              <w:t>Evidence</w:t>
            </w:r>
          </w:p>
        </w:tc>
        <w:tc>
          <w:tcPr>
            <w:tcW w:type="dxa" w:w="2016"/>
            <w:vAlign w:val="top"/>
            <w:shd w:fill="1F4E79"/>
          </w:tcPr>
          <w:p>
            <w:pPr>
              <w:spacing w:after="40"/>
            </w:pPr>
            <w:r/>
            <w:r>
              <w:rPr>
                <w:b/>
                <w:sz w:val="16"/>
              </w:rPr>
              <w:t>Relevance</w:t>
            </w:r>
          </w:p>
        </w:tc>
      </w:tr>
      <w:tr>
        <w:tc>
          <w:tcPr>
            <w:tcW w:type="dxa" w:w="2016"/>
            <w:vAlign w:val="top"/>
          </w:tcPr>
          <w:p>
            <w:pPr>
              <w:spacing w:after="40"/>
            </w:pPr>
            <w:r/>
            <w:r>
              <w:rPr>
                <w:b w:val="0"/>
                <w:sz w:val="15"/>
              </w:rPr>
              <w:t>Legitimacy erosion through repression</w:t>
            </w:r>
          </w:p>
        </w:tc>
        <w:tc>
          <w:tcPr>
            <w:tcW w:type="dxa" w:w="2016"/>
            <w:vAlign w:val="top"/>
          </w:tcPr>
          <w:p>
            <w:pPr>
              <w:spacing w:after="40"/>
            </w:pPr>
            <w:r/>
            <w:r>
              <w:rPr>
                <w:b w:val="0"/>
                <w:sz w:val="15"/>
              </w:rPr>
              <w:t>The January 2026 crackdown and continuing repression have generated international condemnation and deepened the regime’s moral crisis. Amnesty reported internet blackout, curfews, armed patrols, mass arrests, enforced disappearance, torture allegations and harassment of bereaved families.</w:t>
            </w:r>
          </w:p>
        </w:tc>
        <w:tc>
          <w:tcPr>
            <w:tcW w:type="dxa" w:w="2016"/>
            <w:vAlign w:val="top"/>
          </w:tcPr>
          <w:p>
            <w:pPr>
              <w:spacing w:after="40"/>
            </w:pPr>
            <w:r/>
            <w:r>
              <w:rPr>
                <w:b w:val="0"/>
                <w:sz w:val="15"/>
              </w:rPr>
              <w:t>Supportive to any opposition project; not specific to Pahlavi.</w:t>
            </w:r>
          </w:p>
        </w:tc>
        <w:tc>
          <w:tcPr>
            <w:tcW w:type="dxa" w:w="2016"/>
            <w:vAlign w:val="top"/>
          </w:tcPr>
          <w:p>
            <w:pPr>
              <w:spacing w:after="40"/>
            </w:pPr>
            <w:r/>
            <w:r>
              <w:rPr>
                <w:b w:val="0"/>
                <w:sz w:val="15"/>
              </w:rPr>
              <w:t>3</w:t>
            </w:r>
          </w:p>
        </w:tc>
        <w:tc>
          <w:tcPr>
            <w:tcW w:type="dxa" w:w="2016"/>
            <w:vAlign w:val="top"/>
          </w:tcPr>
          <w:p>
            <w:pPr>
              <w:spacing w:after="40"/>
            </w:pPr>
            <w:r/>
            <w:r>
              <w:rPr>
                <w:b w:val="0"/>
                <w:sz w:val="15"/>
              </w:rPr>
              <w:t>3</w:t>
            </w:r>
          </w:p>
        </w:tc>
      </w:tr>
      <w:tr>
        <w:tc>
          <w:tcPr>
            <w:tcW w:type="dxa" w:w="2016"/>
            <w:vAlign w:val="top"/>
          </w:tcPr>
          <w:p>
            <w:pPr>
              <w:spacing w:after="40"/>
            </w:pPr>
            <w:r/>
            <w:r>
              <w:rPr>
                <w:b w:val="0"/>
                <w:sz w:val="15"/>
              </w:rPr>
              <w:t>Uncertain casualty figures under blackout</w:t>
            </w:r>
          </w:p>
        </w:tc>
        <w:tc>
          <w:tcPr>
            <w:tcW w:type="dxa" w:w="2016"/>
            <w:vAlign w:val="top"/>
          </w:tcPr>
          <w:p>
            <w:pPr>
              <w:spacing w:after="40"/>
            </w:pPr>
            <w:r/>
            <w:r>
              <w:rPr>
                <w:b w:val="0"/>
                <w:sz w:val="15"/>
              </w:rPr>
              <w:t>Casualty numbers vary widely. The UK statement said thousands had been killed and the full scale was unknown because of blackout. Le Monde quoted the UN Special Rapporteur describing discrepancies from official figures just over 3,000 to reports in the tens of thousands.</w:t>
            </w:r>
          </w:p>
        </w:tc>
        <w:tc>
          <w:tcPr>
            <w:tcW w:type="dxa" w:w="2016"/>
            <w:vAlign w:val="top"/>
          </w:tcPr>
          <w:p>
            <w:pPr>
              <w:spacing w:after="40"/>
            </w:pPr>
            <w:r/>
            <w:r>
              <w:rPr>
                <w:b w:val="0"/>
                <w:sz w:val="15"/>
              </w:rPr>
              <w:t>Supports a human-rights/accountability narrative but requires careful citation and caution.</w:t>
            </w:r>
          </w:p>
        </w:tc>
        <w:tc>
          <w:tcPr>
            <w:tcW w:type="dxa" w:w="2016"/>
            <w:vAlign w:val="top"/>
          </w:tcPr>
          <w:p>
            <w:pPr>
              <w:spacing w:after="40"/>
            </w:pPr>
            <w:r/>
            <w:r>
              <w:rPr>
                <w:b w:val="0"/>
                <w:sz w:val="15"/>
              </w:rPr>
              <w:t>3</w:t>
            </w:r>
          </w:p>
        </w:tc>
        <w:tc>
          <w:tcPr>
            <w:tcW w:type="dxa" w:w="2016"/>
            <w:vAlign w:val="top"/>
          </w:tcPr>
          <w:p>
            <w:pPr>
              <w:spacing w:after="40"/>
            </w:pPr>
            <w:r/>
            <w:r>
              <w:rPr>
                <w:b w:val="0"/>
                <w:sz w:val="15"/>
              </w:rPr>
              <w:t>3</w:t>
            </w:r>
          </w:p>
        </w:tc>
      </w:tr>
      <w:tr>
        <w:tc>
          <w:tcPr>
            <w:tcW w:type="dxa" w:w="2016"/>
            <w:vAlign w:val="top"/>
          </w:tcPr>
          <w:p>
            <w:pPr>
              <w:spacing w:after="40"/>
            </w:pPr>
            <w:r/>
            <w:r>
              <w:rPr>
                <w:b w:val="0"/>
                <w:sz w:val="15"/>
              </w:rPr>
              <w:t>Economic and sanctions pressure</w:t>
            </w:r>
          </w:p>
        </w:tc>
        <w:tc>
          <w:tcPr>
            <w:tcW w:type="dxa" w:w="2016"/>
            <w:vAlign w:val="top"/>
          </w:tcPr>
          <w:p>
            <w:pPr>
              <w:spacing w:after="40"/>
            </w:pPr>
            <w:r/>
            <w:r>
              <w:rPr>
                <w:b w:val="0"/>
                <w:sz w:val="15"/>
              </w:rPr>
              <w:t>Reuters and the House of Commons Library describe inflation, sanctions, unemployment, blockade effects and Hormuz-related economic stress.</w:t>
            </w:r>
          </w:p>
        </w:tc>
        <w:tc>
          <w:tcPr>
            <w:tcW w:type="dxa" w:w="2016"/>
            <w:vAlign w:val="top"/>
          </w:tcPr>
          <w:p>
            <w:pPr>
              <w:spacing w:after="40"/>
            </w:pPr>
            <w:r/>
            <w:r>
              <w:rPr>
                <w:b w:val="0"/>
                <w:sz w:val="15"/>
              </w:rPr>
              <w:t>Creates pressure for change but can also empower coercive control and black-market/security networks.</w:t>
            </w:r>
          </w:p>
        </w:tc>
        <w:tc>
          <w:tcPr>
            <w:tcW w:type="dxa" w:w="2016"/>
            <w:vAlign w:val="top"/>
          </w:tcPr>
          <w:p>
            <w:pPr>
              <w:spacing w:after="40"/>
            </w:pPr>
            <w:r/>
            <w:r>
              <w:rPr>
                <w:b w:val="0"/>
                <w:sz w:val="15"/>
              </w:rPr>
              <w:t>3</w:t>
            </w:r>
          </w:p>
        </w:tc>
        <w:tc>
          <w:tcPr>
            <w:tcW w:type="dxa" w:w="2016"/>
            <w:vAlign w:val="top"/>
          </w:tcPr>
          <w:p>
            <w:pPr>
              <w:spacing w:after="40"/>
            </w:pPr>
            <w:r/>
            <w:r>
              <w:rPr>
                <w:b w:val="0"/>
                <w:sz w:val="15"/>
              </w:rPr>
              <w:t>3</w:t>
            </w:r>
          </w:p>
        </w:tc>
      </w:tr>
      <w:tr>
        <w:tc>
          <w:tcPr>
            <w:tcW w:type="dxa" w:w="2016"/>
            <w:vAlign w:val="top"/>
          </w:tcPr>
          <w:p>
            <w:pPr>
              <w:spacing w:after="40"/>
            </w:pPr>
            <w:r/>
            <w:r>
              <w:rPr>
                <w:b w:val="0"/>
                <w:sz w:val="15"/>
              </w:rPr>
              <w:t>US-Israel-Iran military confrontation</w:t>
            </w:r>
          </w:p>
        </w:tc>
        <w:tc>
          <w:tcPr>
            <w:tcW w:type="dxa" w:w="2016"/>
            <w:vAlign w:val="top"/>
          </w:tcPr>
          <w:p>
            <w:pPr>
              <w:spacing w:after="40"/>
            </w:pPr>
            <w:r/>
            <w:r>
              <w:rPr>
                <w:b w:val="0"/>
                <w:sz w:val="15"/>
              </w:rPr>
              <w:t>The House of Commons Library describes US and Israeli strikes beginning on 28 February 2026, the killing of Ali Khamenei, Iranian counter-strikes, and talks mediated by Pakistan. Reuters reports continuing deadlock and risk of renewed conflict.</w:t>
            </w:r>
          </w:p>
        </w:tc>
        <w:tc>
          <w:tcPr>
            <w:tcW w:type="dxa" w:w="2016"/>
            <w:vAlign w:val="top"/>
          </w:tcPr>
          <w:p>
            <w:pPr>
              <w:spacing w:after="40"/>
            </w:pPr>
            <w:r/>
            <w:r>
              <w:rPr>
                <w:b w:val="0"/>
                <w:sz w:val="15"/>
              </w:rPr>
              <w:t>Raises regime vulnerability but also creates nationalist backlash and legal/moral controversy around foreign intervention.</w:t>
            </w:r>
          </w:p>
        </w:tc>
        <w:tc>
          <w:tcPr>
            <w:tcW w:type="dxa" w:w="2016"/>
            <w:vAlign w:val="top"/>
          </w:tcPr>
          <w:p>
            <w:pPr>
              <w:spacing w:after="40"/>
            </w:pPr>
            <w:r/>
            <w:r>
              <w:rPr>
                <w:b w:val="0"/>
                <w:sz w:val="15"/>
              </w:rPr>
              <w:t>3</w:t>
            </w:r>
          </w:p>
        </w:tc>
        <w:tc>
          <w:tcPr>
            <w:tcW w:type="dxa" w:w="2016"/>
            <w:vAlign w:val="top"/>
          </w:tcPr>
          <w:p>
            <w:pPr>
              <w:spacing w:after="40"/>
            </w:pPr>
            <w:r/>
            <w:r>
              <w:rPr>
                <w:b w:val="0"/>
                <w:sz w:val="15"/>
              </w:rPr>
              <w:t>3</w:t>
            </w:r>
          </w:p>
        </w:tc>
      </w:tr>
      <w:tr>
        <w:tc>
          <w:tcPr>
            <w:tcW w:type="dxa" w:w="2016"/>
            <w:vAlign w:val="top"/>
          </w:tcPr>
          <w:p>
            <w:pPr>
              <w:spacing w:after="40"/>
            </w:pPr>
            <w:r/>
            <w:r>
              <w:rPr>
                <w:b w:val="0"/>
                <w:sz w:val="15"/>
              </w:rPr>
              <w:t>Fragmented opposition space</w:t>
            </w:r>
          </w:p>
        </w:tc>
        <w:tc>
          <w:tcPr>
            <w:tcW w:type="dxa" w:w="2016"/>
            <w:vAlign w:val="top"/>
          </w:tcPr>
          <w:p>
            <w:pPr>
              <w:spacing w:after="40"/>
            </w:pPr>
            <w:r/>
            <w:r>
              <w:rPr>
                <w:b w:val="0"/>
                <w:sz w:val="15"/>
              </w:rPr>
              <w:t>Reuters described the Iranian opposition as fragmented among rival groups and ideological factions, including monarchists, with limited organised presence inside Iran.</w:t>
            </w:r>
          </w:p>
        </w:tc>
        <w:tc>
          <w:tcPr>
            <w:tcW w:type="dxa" w:w="2016"/>
            <w:vAlign w:val="top"/>
          </w:tcPr>
          <w:p>
            <w:pPr>
              <w:spacing w:after="40"/>
            </w:pPr>
            <w:r/>
            <w:r>
              <w:rPr>
                <w:b w:val="0"/>
                <w:sz w:val="15"/>
              </w:rPr>
              <w:t>Central obstacle to any single transitional leadership claim.</w:t>
            </w:r>
          </w:p>
        </w:tc>
        <w:tc>
          <w:tcPr>
            <w:tcW w:type="dxa" w:w="2016"/>
            <w:vAlign w:val="top"/>
          </w:tcPr>
          <w:p>
            <w:pPr>
              <w:spacing w:after="40"/>
            </w:pPr>
            <w:r/>
            <w:r>
              <w:rPr>
                <w:b w:val="0"/>
                <w:sz w:val="15"/>
              </w:rPr>
              <w:t>3</w:t>
            </w:r>
          </w:p>
        </w:tc>
        <w:tc>
          <w:tcPr>
            <w:tcW w:type="dxa" w:w="2016"/>
            <w:vAlign w:val="top"/>
          </w:tcPr>
          <w:p>
            <w:pPr>
              <w:spacing w:after="40"/>
            </w:pPr>
            <w:r/>
            <w:r>
              <w:rPr>
                <w:b w:val="0"/>
                <w:sz w:val="15"/>
              </w:rPr>
              <w:t>3</w:t>
            </w:r>
          </w:p>
        </w:tc>
      </w:tr>
    </w:tbl>
    <w:p>
      <w:pPr>
        <w:pStyle w:val="Heading1"/>
      </w:pPr>
      <w:r>
        <w:t>3. Factors Supporting Pahlavi’s Transitional Leadership Claim</w:t>
      </w:r>
    </w:p>
    <w:tbl>
      <w:tblPr>
        <w:tblW w:type="auto" w:w="0"/>
        <w:jc w:val="center"/>
        <w:tblLook w:firstColumn="1" w:firstRow="1" w:lastColumn="0" w:lastRow="0" w:noHBand="0" w:noVBand="1" w:val="04A0"/>
      </w:tblPr>
      <w:tblGrid>
        <w:gridCol w:w="2016"/>
        <w:gridCol w:w="2016"/>
        <w:gridCol w:w="2016"/>
        <w:gridCol w:w="2016"/>
        <w:gridCol w:w="2016"/>
      </w:tblGrid>
      <w:tr>
        <w:tc>
          <w:tcPr>
            <w:tcW w:type="dxa" w:w="2016"/>
            <w:vAlign w:val="top"/>
            <w:shd w:fill="548235"/>
          </w:tcPr>
          <w:p>
            <w:pPr>
              <w:spacing w:after="40"/>
            </w:pPr>
            <w:r/>
            <w:r>
              <w:rPr>
                <w:b/>
                <w:sz w:val="16"/>
              </w:rPr>
              <w:t>Supportive factor</w:t>
            </w:r>
          </w:p>
        </w:tc>
        <w:tc>
          <w:tcPr>
            <w:tcW w:type="dxa" w:w="2016"/>
            <w:vAlign w:val="top"/>
            <w:shd w:fill="548235"/>
          </w:tcPr>
          <w:p>
            <w:pPr>
              <w:spacing w:after="40"/>
            </w:pPr>
            <w:r/>
            <w:r>
              <w:rPr>
                <w:b/>
                <w:sz w:val="16"/>
              </w:rPr>
              <w:t>Evidence/logic</w:t>
            </w:r>
          </w:p>
        </w:tc>
        <w:tc>
          <w:tcPr>
            <w:tcW w:type="dxa" w:w="2016"/>
            <w:vAlign w:val="top"/>
            <w:shd w:fill="548235"/>
          </w:tcPr>
          <w:p>
            <w:pPr>
              <w:spacing w:after="40"/>
            </w:pPr>
            <w:r/>
            <w:r>
              <w:rPr>
                <w:b/>
                <w:sz w:val="16"/>
              </w:rPr>
              <w:t>Strategic value</w:t>
            </w:r>
          </w:p>
        </w:tc>
        <w:tc>
          <w:tcPr>
            <w:tcW w:type="dxa" w:w="2016"/>
            <w:vAlign w:val="top"/>
            <w:shd w:fill="548235"/>
          </w:tcPr>
          <w:p>
            <w:pPr>
              <w:spacing w:after="40"/>
            </w:pPr>
            <w:r/>
            <w:r>
              <w:rPr>
                <w:b/>
                <w:sz w:val="16"/>
              </w:rPr>
              <w:t>Evidence</w:t>
            </w:r>
          </w:p>
        </w:tc>
        <w:tc>
          <w:tcPr>
            <w:tcW w:type="dxa" w:w="2016"/>
            <w:vAlign w:val="top"/>
            <w:shd w:fill="548235"/>
          </w:tcPr>
          <w:p>
            <w:pPr>
              <w:spacing w:after="40"/>
            </w:pPr>
            <w:r/>
            <w:r>
              <w:rPr>
                <w:b/>
                <w:sz w:val="16"/>
              </w:rPr>
              <w:t>Relevance</w:t>
            </w:r>
          </w:p>
        </w:tc>
      </w:tr>
      <w:tr>
        <w:tc>
          <w:tcPr>
            <w:tcW w:type="dxa" w:w="2016"/>
            <w:vAlign w:val="top"/>
          </w:tcPr>
          <w:p>
            <w:pPr>
              <w:spacing w:after="40"/>
            </w:pPr>
            <w:r/>
            <w:r>
              <w:rPr>
                <w:b w:val="0"/>
                <w:sz w:val="15"/>
              </w:rPr>
              <w:t>Name recognition and symbolic continuity</w:t>
            </w:r>
          </w:p>
        </w:tc>
        <w:tc>
          <w:tcPr>
            <w:tcW w:type="dxa" w:w="2016"/>
            <w:vAlign w:val="top"/>
          </w:tcPr>
          <w:p>
            <w:pPr>
              <w:spacing w:after="40"/>
            </w:pPr>
            <w:r/>
            <w:r>
              <w:rPr>
                <w:b w:val="0"/>
                <w:sz w:val="15"/>
              </w:rPr>
              <w:t>The Pahlavi name remains widely recognised. His official materials present him as a voice for national unity and democratic transition rather than as a claimant seeking only restoration.</w:t>
            </w:r>
          </w:p>
        </w:tc>
        <w:tc>
          <w:tcPr>
            <w:tcW w:type="dxa" w:w="2016"/>
            <w:vAlign w:val="top"/>
          </w:tcPr>
          <w:p>
            <w:pPr>
              <w:spacing w:after="40"/>
            </w:pPr>
            <w:r/>
            <w:r>
              <w:rPr>
                <w:b w:val="0"/>
                <w:sz w:val="15"/>
              </w:rPr>
              <w:t>Symbolic capital can reduce coordination costs in a leaderless opposition environment.</w:t>
            </w:r>
          </w:p>
        </w:tc>
        <w:tc>
          <w:tcPr>
            <w:tcW w:type="dxa" w:w="2016"/>
            <w:vAlign w:val="top"/>
          </w:tcPr>
          <w:p>
            <w:pPr>
              <w:spacing w:after="40"/>
            </w:pPr>
            <w:r/>
            <w:r>
              <w:rPr>
                <w:b w:val="0"/>
                <w:sz w:val="15"/>
              </w:rPr>
              <w:t>3</w:t>
            </w:r>
          </w:p>
        </w:tc>
        <w:tc>
          <w:tcPr>
            <w:tcW w:type="dxa" w:w="2016"/>
            <w:vAlign w:val="top"/>
          </w:tcPr>
          <w:p>
            <w:pPr>
              <w:spacing w:after="40"/>
            </w:pPr>
            <w:r/>
            <w:r>
              <w:rPr>
                <w:b w:val="0"/>
                <w:sz w:val="15"/>
              </w:rPr>
              <w:t>3</w:t>
            </w:r>
          </w:p>
        </w:tc>
      </w:tr>
      <w:tr>
        <w:tc>
          <w:tcPr>
            <w:tcW w:type="dxa" w:w="2016"/>
            <w:vAlign w:val="top"/>
          </w:tcPr>
          <w:p>
            <w:pPr>
              <w:spacing w:after="40"/>
            </w:pPr>
            <w:r/>
            <w:r>
              <w:rPr>
                <w:b w:val="0"/>
                <w:sz w:val="15"/>
              </w:rPr>
              <w:t>International visibility</w:t>
            </w:r>
          </w:p>
        </w:tc>
        <w:tc>
          <w:tcPr>
            <w:tcW w:type="dxa" w:w="2016"/>
            <w:vAlign w:val="top"/>
          </w:tcPr>
          <w:p>
            <w:pPr>
              <w:spacing w:after="40"/>
            </w:pPr>
            <w:r/>
            <w:r>
              <w:rPr>
                <w:b w:val="0"/>
                <w:sz w:val="15"/>
              </w:rPr>
              <w:t>Reuters reported his presence at the Munich Security Conference and a meeting with President Zelenskiy. Euronews reported European Parliament discussions about inviting him among other opposition figures.</w:t>
            </w:r>
          </w:p>
        </w:tc>
        <w:tc>
          <w:tcPr>
            <w:tcW w:type="dxa" w:w="2016"/>
            <w:vAlign w:val="top"/>
          </w:tcPr>
          <w:p>
            <w:pPr>
              <w:spacing w:after="40"/>
            </w:pPr>
            <w:r/>
            <w:r>
              <w:rPr>
                <w:b w:val="0"/>
                <w:sz w:val="15"/>
              </w:rPr>
              <w:t>International access can amplify opposition claims and sanctions/human-rights messaging.</w:t>
            </w:r>
          </w:p>
        </w:tc>
        <w:tc>
          <w:tcPr>
            <w:tcW w:type="dxa" w:w="2016"/>
            <w:vAlign w:val="top"/>
          </w:tcPr>
          <w:p>
            <w:pPr>
              <w:spacing w:after="40"/>
            </w:pPr>
            <w:r/>
            <w:r>
              <w:rPr>
                <w:b w:val="0"/>
                <w:sz w:val="15"/>
              </w:rPr>
              <w:t>3</w:t>
            </w:r>
          </w:p>
        </w:tc>
        <w:tc>
          <w:tcPr>
            <w:tcW w:type="dxa" w:w="2016"/>
            <w:vAlign w:val="top"/>
          </w:tcPr>
          <w:p>
            <w:pPr>
              <w:spacing w:after="40"/>
            </w:pPr>
            <w:r/>
            <w:r>
              <w:rPr>
                <w:b w:val="0"/>
                <w:sz w:val="15"/>
              </w:rPr>
              <w:t>2</w:t>
            </w:r>
          </w:p>
        </w:tc>
      </w:tr>
      <w:tr>
        <w:tc>
          <w:tcPr>
            <w:tcW w:type="dxa" w:w="2016"/>
            <w:vAlign w:val="top"/>
          </w:tcPr>
          <w:p>
            <w:pPr>
              <w:spacing w:after="40"/>
            </w:pPr>
            <w:r/>
            <w:r>
              <w:rPr>
                <w:b w:val="0"/>
                <w:sz w:val="15"/>
              </w:rPr>
              <w:t>Democratic-transition framing</w:t>
            </w:r>
          </w:p>
        </w:tc>
        <w:tc>
          <w:tcPr>
            <w:tcW w:type="dxa" w:w="2016"/>
            <w:vAlign w:val="top"/>
          </w:tcPr>
          <w:p>
            <w:pPr>
              <w:spacing w:after="40"/>
            </w:pPr>
            <w:r/>
            <w:r>
              <w:rPr>
                <w:b w:val="0"/>
                <w:sz w:val="15"/>
              </w:rPr>
              <w:t>His official website lists principles including democracy, free elections, separation of religion and state, rule of law, human rights, freedom of parties, women’s rights, and peaceful relations with the world.</w:t>
            </w:r>
          </w:p>
        </w:tc>
        <w:tc>
          <w:tcPr>
            <w:tcW w:type="dxa" w:w="2016"/>
            <w:vAlign w:val="top"/>
          </w:tcPr>
          <w:p>
            <w:pPr>
              <w:spacing w:after="40"/>
            </w:pPr>
            <w:r/>
            <w:r>
              <w:rPr>
                <w:b w:val="0"/>
                <w:sz w:val="15"/>
              </w:rPr>
              <w:t>These principles are potentially compatible with liberals, social democrats, constitutionalists and some republicans if institutional safeguards are credible.</w:t>
            </w:r>
          </w:p>
        </w:tc>
        <w:tc>
          <w:tcPr>
            <w:tcW w:type="dxa" w:w="2016"/>
            <w:vAlign w:val="top"/>
          </w:tcPr>
          <w:p>
            <w:pPr>
              <w:spacing w:after="40"/>
            </w:pPr>
            <w:r/>
            <w:r>
              <w:rPr>
                <w:b w:val="0"/>
                <w:sz w:val="15"/>
              </w:rPr>
              <w:t>3</w:t>
            </w:r>
          </w:p>
        </w:tc>
        <w:tc>
          <w:tcPr>
            <w:tcW w:type="dxa" w:w="2016"/>
            <w:vAlign w:val="top"/>
          </w:tcPr>
          <w:p>
            <w:pPr>
              <w:spacing w:after="40"/>
            </w:pPr>
            <w:r/>
            <w:r>
              <w:rPr>
                <w:b w:val="0"/>
                <w:sz w:val="15"/>
              </w:rPr>
              <w:t>3</w:t>
            </w:r>
          </w:p>
        </w:tc>
      </w:tr>
      <w:tr>
        <w:tc>
          <w:tcPr>
            <w:tcW w:type="dxa" w:w="2016"/>
            <w:vAlign w:val="top"/>
          </w:tcPr>
          <w:p>
            <w:pPr>
              <w:spacing w:after="40"/>
            </w:pPr>
            <w:r/>
            <w:r>
              <w:rPr>
                <w:b w:val="0"/>
                <w:sz w:val="15"/>
              </w:rPr>
              <w:t>Clear anti-Islamic Republic position</w:t>
            </w:r>
          </w:p>
        </w:tc>
        <w:tc>
          <w:tcPr>
            <w:tcW w:type="dxa" w:w="2016"/>
            <w:vAlign w:val="top"/>
          </w:tcPr>
          <w:p>
            <w:pPr>
              <w:spacing w:after="40"/>
            </w:pPr>
            <w:r/>
            <w:r>
              <w:rPr>
                <w:b w:val="0"/>
                <w:sz w:val="15"/>
              </w:rPr>
              <w:t>His public stance is unambiguous against the Islamic Republic.</w:t>
            </w:r>
          </w:p>
        </w:tc>
        <w:tc>
          <w:tcPr>
            <w:tcW w:type="dxa" w:w="2016"/>
            <w:vAlign w:val="top"/>
          </w:tcPr>
          <w:p>
            <w:pPr>
              <w:spacing w:after="40"/>
            </w:pPr>
            <w:r/>
            <w:r>
              <w:rPr>
                <w:b w:val="0"/>
                <w:sz w:val="15"/>
              </w:rPr>
              <w:t>Clarity helps mobilisation among communities seeking decisive regime change.</w:t>
            </w:r>
          </w:p>
        </w:tc>
        <w:tc>
          <w:tcPr>
            <w:tcW w:type="dxa" w:w="2016"/>
            <w:vAlign w:val="top"/>
          </w:tcPr>
          <w:p>
            <w:pPr>
              <w:spacing w:after="40"/>
            </w:pPr>
            <w:r/>
            <w:r>
              <w:rPr>
                <w:b w:val="0"/>
                <w:sz w:val="15"/>
              </w:rPr>
              <w:t>3</w:t>
            </w:r>
          </w:p>
        </w:tc>
        <w:tc>
          <w:tcPr>
            <w:tcW w:type="dxa" w:w="2016"/>
            <w:vAlign w:val="top"/>
          </w:tcPr>
          <w:p>
            <w:pPr>
              <w:spacing w:after="40"/>
            </w:pPr>
            <w:r/>
            <w:r>
              <w:rPr>
                <w:b w:val="0"/>
                <w:sz w:val="15"/>
              </w:rPr>
              <w:t>2</w:t>
            </w:r>
          </w:p>
        </w:tc>
      </w:tr>
      <w:tr>
        <w:tc>
          <w:tcPr>
            <w:tcW w:type="dxa" w:w="2016"/>
            <w:vAlign w:val="top"/>
          </w:tcPr>
          <w:p>
            <w:pPr>
              <w:spacing w:after="40"/>
            </w:pPr>
            <w:r/>
            <w:r>
              <w:rPr>
                <w:b w:val="0"/>
                <w:sz w:val="15"/>
              </w:rPr>
              <w:t>Diaspora mobilisation capacity</w:t>
            </w:r>
          </w:p>
        </w:tc>
        <w:tc>
          <w:tcPr>
            <w:tcW w:type="dxa" w:w="2016"/>
            <w:vAlign w:val="top"/>
          </w:tcPr>
          <w:p>
            <w:pPr>
              <w:spacing w:after="40"/>
            </w:pPr>
            <w:r/>
            <w:r>
              <w:rPr>
                <w:b w:val="0"/>
                <w:sz w:val="15"/>
              </w:rPr>
              <w:t>Large pro-Pahlavi demonstrations and symbolic politics around the Lion and Sun flag indicate a mobilisable diaspora constituency.</w:t>
            </w:r>
          </w:p>
        </w:tc>
        <w:tc>
          <w:tcPr>
            <w:tcW w:type="dxa" w:w="2016"/>
            <w:vAlign w:val="top"/>
          </w:tcPr>
          <w:p>
            <w:pPr>
              <w:spacing w:after="40"/>
            </w:pPr>
            <w:r/>
            <w:r>
              <w:rPr>
                <w:b w:val="0"/>
                <w:sz w:val="15"/>
              </w:rPr>
              <w:t>Mobilisation can support lobbying, media visibility, documentation and fundraising, but it is not equivalent to nationwide consent inside Iran.</w:t>
            </w:r>
          </w:p>
        </w:tc>
        <w:tc>
          <w:tcPr>
            <w:tcW w:type="dxa" w:w="2016"/>
            <w:vAlign w:val="top"/>
          </w:tcPr>
          <w:p>
            <w:pPr>
              <w:spacing w:after="40"/>
            </w:pPr>
            <w:r/>
            <w:r>
              <w:rPr>
                <w:b w:val="0"/>
                <w:sz w:val="15"/>
              </w:rPr>
              <w:t>2</w:t>
            </w:r>
          </w:p>
        </w:tc>
        <w:tc>
          <w:tcPr>
            <w:tcW w:type="dxa" w:w="2016"/>
            <w:vAlign w:val="top"/>
          </w:tcPr>
          <w:p>
            <w:pPr>
              <w:spacing w:after="40"/>
            </w:pPr>
            <w:r/>
            <w:r>
              <w:rPr>
                <w:b w:val="0"/>
                <w:sz w:val="15"/>
              </w:rPr>
              <w:t>2</w:t>
            </w:r>
          </w:p>
        </w:tc>
      </w:tr>
      <w:tr>
        <w:tc>
          <w:tcPr>
            <w:tcW w:type="dxa" w:w="2016"/>
            <w:vAlign w:val="top"/>
          </w:tcPr>
          <w:p>
            <w:pPr>
              <w:spacing w:after="40"/>
            </w:pPr>
            <w:r/>
            <w:r>
              <w:rPr>
                <w:b w:val="0"/>
                <w:sz w:val="15"/>
              </w:rPr>
              <w:t>Potential father-figure role</w:t>
            </w:r>
          </w:p>
        </w:tc>
        <w:tc>
          <w:tcPr>
            <w:tcW w:type="dxa" w:w="2016"/>
            <w:vAlign w:val="top"/>
          </w:tcPr>
          <w:p>
            <w:pPr>
              <w:spacing w:after="40"/>
            </w:pPr>
            <w:r/>
            <w:r>
              <w:rPr>
                <w:b w:val="0"/>
                <w:sz w:val="15"/>
              </w:rPr>
              <w:t>A non-party, above-faction position can theoretically serve national reconciliation better than ordinary party leadership.</w:t>
            </w:r>
          </w:p>
        </w:tc>
        <w:tc>
          <w:tcPr>
            <w:tcW w:type="dxa" w:w="2016"/>
            <w:vAlign w:val="top"/>
          </w:tcPr>
          <w:p>
            <w:pPr>
              <w:spacing w:after="40"/>
            </w:pPr>
            <w:r/>
            <w:r>
              <w:rPr>
                <w:b w:val="0"/>
                <w:sz w:val="15"/>
              </w:rPr>
              <w:t>This is strategically important if coupled with pluralistic guarantees and restrained language.</w:t>
            </w:r>
          </w:p>
        </w:tc>
        <w:tc>
          <w:tcPr>
            <w:tcW w:type="dxa" w:w="2016"/>
            <w:vAlign w:val="top"/>
          </w:tcPr>
          <w:p>
            <w:pPr>
              <w:spacing w:after="40"/>
            </w:pPr>
            <w:r/>
            <w:r>
              <w:rPr>
                <w:b w:val="0"/>
                <w:sz w:val="15"/>
              </w:rPr>
              <w:t>2</w:t>
            </w:r>
          </w:p>
        </w:tc>
        <w:tc>
          <w:tcPr>
            <w:tcW w:type="dxa" w:w="2016"/>
            <w:vAlign w:val="top"/>
          </w:tcPr>
          <w:p>
            <w:pPr>
              <w:spacing w:after="40"/>
            </w:pPr>
            <w:r/>
            <w:r>
              <w:rPr>
                <w:b w:val="0"/>
                <w:sz w:val="15"/>
              </w:rPr>
              <w:t>3</w:t>
            </w:r>
          </w:p>
        </w:tc>
      </w:tr>
    </w:tbl>
    <w:p>
      <w:pPr>
        <w:pStyle w:val="Heading1"/>
      </w:pPr>
      <w:r>
        <w:t>4. Factors Working Against Pahlavi’s Transitional Leadership Claim</w:t>
      </w:r>
    </w:p>
    <w:tbl>
      <w:tblPr>
        <w:tblW w:type="auto" w:w="0"/>
        <w:jc w:val="center"/>
        <w:tblLook w:firstColumn="1" w:firstRow="1" w:lastColumn="0" w:lastRow="0" w:noHBand="0" w:noVBand="1" w:val="04A0"/>
      </w:tblPr>
      <w:tblGrid>
        <w:gridCol w:w="2016"/>
        <w:gridCol w:w="2016"/>
        <w:gridCol w:w="2016"/>
        <w:gridCol w:w="2016"/>
        <w:gridCol w:w="2016"/>
      </w:tblGrid>
      <w:tr>
        <w:tc>
          <w:tcPr>
            <w:tcW w:type="dxa" w:w="2016"/>
            <w:vAlign w:val="top"/>
            <w:shd w:fill="C00000"/>
          </w:tcPr>
          <w:p>
            <w:pPr>
              <w:spacing w:after="40"/>
            </w:pPr>
            <w:r/>
            <w:r>
              <w:rPr>
                <w:b/>
                <w:sz w:val="16"/>
              </w:rPr>
              <w:t>Obstacle</w:t>
            </w:r>
          </w:p>
        </w:tc>
        <w:tc>
          <w:tcPr>
            <w:tcW w:type="dxa" w:w="2016"/>
            <w:vAlign w:val="top"/>
            <w:shd w:fill="C00000"/>
          </w:tcPr>
          <w:p>
            <w:pPr>
              <w:spacing w:after="40"/>
            </w:pPr>
            <w:r/>
            <w:r>
              <w:rPr>
                <w:b/>
                <w:sz w:val="16"/>
              </w:rPr>
              <w:t>Evidence/logic</w:t>
            </w:r>
          </w:p>
        </w:tc>
        <w:tc>
          <w:tcPr>
            <w:tcW w:type="dxa" w:w="2016"/>
            <w:vAlign w:val="top"/>
            <w:shd w:fill="C00000"/>
          </w:tcPr>
          <w:p>
            <w:pPr>
              <w:spacing w:after="40"/>
            </w:pPr>
            <w:r/>
            <w:r>
              <w:rPr>
                <w:b/>
                <w:sz w:val="16"/>
              </w:rPr>
              <w:t>Strategic risk</w:t>
            </w:r>
          </w:p>
        </w:tc>
        <w:tc>
          <w:tcPr>
            <w:tcW w:type="dxa" w:w="2016"/>
            <w:vAlign w:val="top"/>
            <w:shd w:fill="C00000"/>
          </w:tcPr>
          <w:p>
            <w:pPr>
              <w:spacing w:after="40"/>
            </w:pPr>
            <w:r/>
            <w:r>
              <w:rPr>
                <w:b/>
                <w:sz w:val="16"/>
              </w:rPr>
              <w:t>Evidence</w:t>
            </w:r>
          </w:p>
        </w:tc>
        <w:tc>
          <w:tcPr>
            <w:tcW w:type="dxa" w:w="2016"/>
            <w:vAlign w:val="top"/>
            <w:shd w:fill="C00000"/>
          </w:tcPr>
          <w:p>
            <w:pPr>
              <w:spacing w:after="40"/>
            </w:pPr>
            <w:r/>
            <w:r>
              <w:rPr>
                <w:b/>
                <w:sz w:val="16"/>
              </w:rPr>
              <w:t>Relevance</w:t>
            </w:r>
          </w:p>
        </w:tc>
      </w:tr>
      <w:tr>
        <w:tc>
          <w:tcPr>
            <w:tcW w:type="dxa" w:w="2016"/>
            <w:vAlign w:val="top"/>
          </w:tcPr>
          <w:p>
            <w:pPr>
              <w:spacing w:after="40"/>
            </w:pPr>
            <w:r/>
            <w:r>
              <w:rPr>
                <w:b w:val="0"/>
                <w:sz w:val="15"/>
              </w:rPr>
              <w:t>Historical burden of the Pahlavi name</w:t>
            </w:r>
          </w:p>
        </w:tc>
        <w:tc>
          <w:tcPr>
            <w:tcW w:type="dxa" w:w="2016"/>
            <w:vAlign w:val="top"/>
          </w:tcPr>
          <w:p>
            <w:pPr>
              <w:spacing w:after="40"/>
            </w:pPr>
            <w:r/>
            <w:r>
              <w:rPr>
                <w:b w:val="0"/>
                <w:sz w:val="15"/>
              </w:rPr>
              <w:t>Interviews and public debate repeatedly return to the Shah, SAVAK, political prisoners, Evin, authoritarianism and the causes of 1979.</w:t>
            </w:r>
          </w:p>
        </w:tc>
        <w:tc>
          <w:tcPr>
            <w:tcW w:type="dxa" w:w="2016"/>
            <w:vAlign w:val="top"/>
          </w:tcPr>
          <w:p>
            <w:pPr>
              <w:spacing w:after="40"/>
            </w:pPr>
            <w:r/>
            <w:r>
              <w:rPr>
                <w:b w:val="0"/>
                <w:sz w:val="15"/>
              </w:rPr>
              <w:t>This creates a legitimacy barrier among leftists, republicans, Islamists, some ethnic groups, and human-rights constituencies.</w:t>
            </w:r>
          </w:p>
        </w:tc>
        <w:tc>
          <w:tcPr>
            <w:tcW w:type="dxa" w:w="2016"/>
            <w:vAlign w:val="top"/>
          </w:tcPr>
          <w:p>
            <w:pPr>
              <w:spacing w:after="40"/>
            </w:pPr>
            <w:r/>
            <w:r>
              <w:rPr>
                <w:b w:val="0"/>
                <w:sz w:val="15"/>
              </w:rPr>
              <w:t>3</w:t>
            </w:r>
          </w:p>
        </w:tc>
        <w:tc>
          <w:tcPr>
            <w:tcW w:type="dxa" w:w="2016"/>
            <w:vAlign w:val="top"/>
          </w:tcPr>
          <w:p>
            <w:pPr>
              <w:spacing w:after="40"/>
            </w:pPr>
            <w:r/>
            <w:r>
              <w:rPr>
                <w:b w:val="0"/>
                <w:sz w:val="15"/>
              </w:rPr>
              <w:t>3</w:t>
            </w:r>
          </w:p>
        </w:tc>
      </w:tr>
      <w:tr>
        <w:tc>
          <w:tcPr>
            <w:tcW w:type="dxa" w:w="2016"/>
            <w:vAlign w:val="top"/>
          </w:tcPr>
          <w:p>
            <w:pPr>
              <w:spacing w:after="40"/>
            </w:pPr>
            <w:r/>
            <w:r>
              <w:rPr>
                <w:b w:val="0"/>
                <w:sz w:val="15"/>
              </w:rPr>
              <w:t>Perception of right-wing alignment</w:t>
            </w:r>
          </w:p>
        </w:tc>
        <w:tc>
          <w:tcPr>
            <w:tcW w:type="dxa" w:w="2016"/>
            <w:vAlign w:val="top"/>
          </w:tcPr>
          <w:p>
            <w:pPr>
              <w:spacing w:after="40"/>
            </w:pPr>
            <w:r/>
            <w:r>
              <w:rPr>
                <w:b w:val="0"/>
                <w:sz w:val="15"/>
              </w:rPr>
              <w:t>Euronews reported that several right-wing ECR members supported inviting him and that Brussels also sought to avoid singling him out as the only opposition leader.</w:t>
            </w:r>
          </w:p>
        </w:tc>
        <w:tc>
          <w:tcPr>
            <w:tcW w:type="dxa" w:w="2016"/>
            <w:vAlign w:val="top"/>
          </w:tcPr>
          <w:p>
            <w:pPr>
              <w:spacing w:after="40"/>
            </w:pPr>
            <w:r/>
            <w:r>
              <w:rPr>
                <w:b w:val="0"/>
                <w:sz w:val="15"/>
              </w:rPr>
              <w:t>If European left, liberal and social-democratic parties see him as right-wing or monarchist-only, diplomatic access narrows.</w:t>
            </w:r>
          </w:p>
        </w:tc>
        <w:tc>
          <w:tcPr>
            <w:tcW w:type="dxa" w:w="2016"/>
            <w:vAlign w:val="top"/>
          </w:tcPr>
          <w:p>
            <w:pPr>
              <w:spacing w:after="40"/>
            </w:pPr>
            <w:r/>
            <w:r>
              <w:rPr>
                <w:b w:val="0"/>
                <w:sz w:val="15"/>
              </w:rPr>
              <w:t>2</w:t>
            </w:r>
          </w:p>
        </w:tc>
        <w:tc>
          <w:tcPr>
            <w:tcW w:type="dxa" w:w="2016"/>
            <w:vAlign w:val="top"/>
          </w:tcPr>
          <w:p>
            <w:pPr>
              <w:spacing w:after="40"/>
            </w:pPr>
            <w:r/>
            <w:r>
              <w:rPr>
                <w:b w:val="0"/>
                <w:sz w:val="15"/>
              </w:rPr>
              <w:t>3</w:t>
            </w:r>
          </w:p>
        </w:tc>
      </w:tr>
      <w:tr>
        <w:tc>
          <w:tcPr>
            <w:tcW w:type="dxa" w:w="2016"/>
            <w:vAlign w:val="top"/>
          </w:tcPr>
          <w:p>
            <w:pPr>
              <w:spacing w:after="40"/>
            </w:pPr>
            <w:r/>
            <w:r>
              <w:rPr>
                <w:b w:val="0"/>
                <w:sz w:val="15"/>
              </w:rPr>
              <w:t>Exclusionary slogans by some supporters</w:t>
            </w:r>
          </w:p>
        </w:tc>
        <w:tc>
          <w:tcPr>
            <w:tcW w:type="dxa" w:w="2016"/>
            <w:vAlign w:val="top"/>
          </w:tcPr>
          <w:p>
            <w:pPr>
              <w:spacing w:after="40"/>
            </w:pPr>
            <w:r/>
            <w:r>
              <w:rPr>
                <w:b w:val="0"/>
                <w:sz w:val="15"/>
              </w:rPr>
              <w:t>Slogans against mullahs, leftists and MEK may express historical anger, but they also signal exclusion and revenge to groups needed for a broad transition.</w:t>
            </w:r>
          </w:p>
        </w:tc>
        <w:tc>
          <w:tcPr>
            <w:tcW w:type="dxa" w:w="2016"/>
            <w:vAlign w:val="top"/>
          </w:tcPr>
          <w:p>
            <w:pPr>
              <w:spacing w:after="40"/>
            </w:pPr>
            <w:r/>
            <w:r>
              <w:rPr>
                <w:b w:val="0"/>
                <w:sz w:val="15"/>
              </w:rPr>
              <w:t>This weakens the national-reconciliation frame and gives opponents an easy polarisation narrative.</w:t>
            </w:r>
          </w:p>
        </w:tc>
        <w:tc>
          <w:tcPr>
            <w:tcW w:type="dxa" w:w="2016"/>
            <w:vAlign w:val="top"/>
          </w:tcPr>
          <w:p>
            <w:pPr>
              <w:spacing w:after="40"/>
            </w:pPr>
            <w:r/>
            <w:r>
              <w:rPr>
                <w:b w:val="0"/>
                <w:sz w:val="15"/>
              </w:rPr>
              <w:t>2</w:t>
            </w:r>
          </w:p>
        </w:tc>
        <w:tc>
          <w:tcPr>
            <w:tcW w:type="dxa" w:w="2016"/>
            <w:vAlign w:val="top"/>
          </w:tcPr>
          <w:p>
            <w:pPr>
              <w:spacing w:after="40"/>
            </w:pPr>
            <w:r/>
            <w:r>
              <w:rPr>
                <w:b w:val="0"/>
                <w:sz w:val="15"/>
              </w:rPr>
              <w:t>3</w:t>
            </w:r>
          </w:p>
        </w:tc>
      </w:tr>
      <w:tr>
        <w:tc>
          <w:tcPr>
            <w:tcW w:type="dxa" w:w="2016"/>
            <w:vAlign w:val="top"/>
          </w:tcPr>
          <w:p>
            <w:pPr>
              <w:spacing w:after="40"/>
            </w:pPr>
            <w:r/>
            <w:r>
              <w:rPr>
                <w:b w:val="0"/>
                <w:sz w:val="15"/>
              </w:rPr>
              <w:t>Foreign-intervention controversy</w:t>
            </w:r>
          </w:p>
        </w:tc>
        <w:tc>
          <w:tcPr>
            <w:tcW w:type="dxa" w:w="2016"/>
            <w:vAlign w:val="top"/>
          </w:tcPr>
          <w:p>
            <w:pPr>
              <w:spacing w:after="40"/>
            </w:pPr>
            <w:r/>
            <w:r>
              <w:rPr>
                <w:b w:val="0"/>
                <w:sz w:val="15"/>
              </w:rPr>
              <w:t>Reuters reported Pahlavi saying US intervention could save lives, while Le Monde quoted the UN Special Rapporteur warning that US military intervention without UN Security Council authorisation would violate the UN Charter.</w:t>
            </w:r>
          </w:p>
        </w:tc>
        <w:tc>
          <w:tcPr>
            <w:tcW w:type="dxa" w:w="2016"/>
            <w:vAlign w:val="top"/>
          </w:tcPr>
          <w:p>
            <w:pPr>
              <w:spacing w:after="40"/>
            </w:pPr>
            <w:r/>
            <w:r>
              <w:rPr>
                <w:b w:val="0"/>
                <w:sz w:val="15"/>
              </w:rPr>
              <w:t>This can mobilise some anti-regime forces but alienate anti-war, left, international-law and nationalist audiences.</w:t>
            </w:r>
          </w:p>
        </w:tc>
        <w:tc>
          <w:tcPr>
            <w:tcW w:type="dxa" w:w="2016"/>
            <w:vAlign w:val="top"/>
          </w:tcPr>
          <w:p>
            <w:pPr>
              <w:spacing w:after="40"/>
            </w:pPr>
            <w:r/>
            <w:r>
              <w:rPr>
                <w:b w:val="0"/>
                <w:sz w:val="15"/>
              </w:rPr>
              <w:t>3</w:t>
            </w:r>
          </w:p>
        </w:tc>
        <w:tc>
          <w:tcPr>
            <w:tcW w:type="dxa" w:w="2016"/>
            <w:vAlign w:val="top"/>
          </w:tcPr>
          <w:p>
            <w:pPr>
              <w:spacing w:after="40"/>
            </w:pPr>
            <w:r/>
            <w:r>
              <w:rPr>
                <w:b w:val="0"/>
                <w:sz w:val="15"/>
              </w:rPr>
              <w:t>3</w:t>
            </w:r>
          </w:p>
        </w:tc>
      </w:tr>
      <w:tr>
        <w:tc>
          <w:tcPr>
            <w:tcW w:type="dxa" w:w="2016"/>
            <w:vAlign w:val="top"/>
          </w:tcPr>
          <w:p>
            <w:pPr>
              <w:spacing w:after="40"/>
            </w:pPr>
            <w:r/>
            <w:r>
              <w:rPr>
                <w:b w:val="0"/>
                <w:sz w:val="15"/>
              </w:rPr>
              <w:t>Opposition fragmentation</w:t>
            </w:r>
          </w:p>
        </w:tc>
        <w:tc>
          <w:tcPr>
            <w:tcW w:type="dxa" w:w="2016"/>
            <w:vAlign w:val="top"/>
          </w:tcPr>
          <w:p>
            <w:pPr>
              <w:spacing w:after="40"/>
            </w:pPr>
            <w:r/>
            <w:r>
              <w:rPr>
                <w:b w:val="0"/>
                <w:sz w:val="15"/>
              </w:rPr>
              <w:t>Reuters explicitly notes fragmented rival opposition groups and limited organised presence inside Iran.</w:t>
            </w:r>
          </w:p>
        </w:tc>
        <w:tc>
          <w:tcPr>
            <w:tcW w:type="dxa" w:w="2016"/>
            <w:vAlign w:val="top"/>
          </w:tcPr>
          <w:p>
            <w:pPr>
              <w:spacing w:after="40"/>
            </w:pPr>
            <w:r/>
            <w:r>
              <w:rPr>
                <w:b w:val="0"/>
                <w:sz w:val="15"/>
              </w:rPr>
              <w:t>Fragmentation prevents a single external figure from automatically becoming a recognised transitional authority.</w:t>
            </w:r>
          </w:p>
        </w:tc>
        <w:tc>
          <w:tcPr>
            <w:tcW w:type="dxa" w:w="2016"/>
            <w:vAlign w:val="top"/>
          </w:tcPr>
          <w:p>
            <w:pPr>
              <w:spacing w:after="40"/>
            </w:pPr>
            <w:r/>
            <w:r>
              <w:rPr>
                <w:b w:val="0"/>
                <w:sz w:val="15"/>
              </w:rPr>
              <w:t>3</w:t>
            </w:r>
          </w:p>
        </w:tc>
        <w:tc>
          <w:tcPr>
            <w:tcW w:type="dxa" w:w="2016"/>
            <w:vAlign w:val="top"/>
          </w:tcPr>
          <w:p>
            <w:pPr>
              <w:spacing w:after="40"/>
            </w:pPr>
            <w:r/>
            <w:r>
              <w:rPr>
                <w:b w:val="0"/>
                <w:sz w:val="15"/>
              </w:rPr>
              <w:t>3</w:t>
            </w:r>
          </w:p>
        </w:tc>
      </w:tr>
      <w:tr>
        <w:tc>
          <w:tcPr>
            <w:tcW w:type="dxa" w:w="2016"/>
            <w:vAlign w:val="top"/>
          </w:tcPr>
          <w:p>
            <w:pPr>
              <w:spacing w:after="40"/>
            </w:pPr>
            <w:r/>
            <w:r>
              <w:rPr>
                <w:b w:val="0"/>
                <w:sz w:val="15"/>
              </w:rPr>
              <w:t>Unclear internal organisational capacity</w:t>
            </w:r>
          </w:p>
        </w:tc>
        <w:tc>
          <w:tcPr>
            <w:tcW w:type="dxa" w:w="2016"/>
            <w:vAlign w:val="top"/>
          </w:tcPr>
          <w:p>
            <w:pPr>
              <w:spacing w:after="40"/>
            </w:pPr>
            <w:r/>
            <w:r>
              <w:rPr>
                <w:b w:val="0"/>
                <w:sz w:val="15"/>
              </w:rPr>
              <w:t>Visibility abroad does not by itself prove command structures, local councils, strike networks or administrative readiness inside Iran.</w:t>
            </w:r>
          </w:p>
        </w:tc>
        <w:tc>
          <w:tcPr>
            <w:tcW w:type="dxa" w:w="2016"/>
            <w:vAlign w:val="top"/>
          </w:tcPr>
          <w:p>
            <w:pPr>
              <w:spacing w:after="40"/>
            </w:pPr>
            <w:r/>
            <w:r>
              <w:rPr>
                <w:b w:val="0"/>
                <w:sz w:val="15"/>
              </w:rPr>
              <w:t>A transition requires institutional capacity, not only symbolic leadership.</w:t>
            </w:r>
          </w:p>
        </w:tc>
        <w:tc>
          <w:tcPr>
            <w:tcW w:type="dxa" w:w="2016"/>
            <w:vAlign w:val="top"/>
          </w:tcPr>
          <w:p>
            <w:pPr>
              <w:spacing w:after="40"/>
            </w:pPr>
            <w:r/>
            <w:r>
              <w:rPr>
                <w:b w:val="0"/>
                <w:sz w:val="15"/>
              </w:rPr>
              <w:t>2</w:t>
            </w:r>
          </w:p>
        </w:tc>
        <w:tc>
          <w:tcPr>
            <w:tcW w:type="dxa" w:w="2016"/>
            <w:vAlign w:val="top"/>
          </w:tcPr>
          <w:p>
            <w:pPr>
              <w:spacing w:after="40"/>
            </w:pPr>
            <w:r/>
            <w:r>
              <w:rPr>
                <w:b w:val="0"/>
                <w:sz w:val="15"/>
              </w:rPr>
              <w:t>3</w:t>
            </w:r>
          </w:p>
        </w:tc>
      </w:tr>
      <w:tr>
        <w:tc>
          <w:tcPr>
            <w:tcW w:type="dxa" w:w="2016"/>
            <w:vAlign w:val="top"/>
          </w:tcPr>
          <w:p>
            <w:pPr>
              <w:spacing w:after="40"/>
            </w:pPr>
            <w:r/>
            <w:r>
              <w:rPr>
                <w:b w:val="0"/>
                <w:sz w:val="15"/>
              </w:rPr>
              <w:t>Ethnic and regional distrust</w:t>
            </w:r>
          </w:p>
        </w:tc>
        <w:tc>
          <w:tcPr>
            <w:tcW w:type="dxa" w:w="2016"/>
            <w:vAlign w:val="top"/>
          </w:tcPr>
          <w:p>
            <w:pPr>
              <w:spacing w:after="40"/>
            </w:pPr>
            <w:r/>
            <w:r>
              <w:rPr>
                <w:b w:val="0"/>
                <w:sz w:val="15"/>
              </w:rPr>
              <w:t>Kurdish, Baluchi, Arab, Azeri, Turkmen and other groups may require credible guarantees on equal citizenship, decentralisation, language and cultural rights.</w:t>
            </w:r>
          </w:p>
        </w:tc>
        <w:tc>
          <w:tcPr>
            <w:tcW w:type="dxa" w:w="2016"/>
            <w:vAlign w:val="top"/>
          </w:tcPr>
          <w:p>
            <w:pPr>
              <w:spacing w:after="40"/>
            </w:pPr>
            <w:r/>
            <w:r>
              <w:rPr>
                <w:b w:val="0"/>
                <w:sz w:val="15"/>
              </w:rPr>
              <w:t>Without safeguards, territorial-integrity language may be heard as centralist coercion rather than inclusive citizenship.</w:t>
            </w:r>
          </w:p>
        </w:tc>
        <w:tc>
          <w:tcPr>
            <w:tcW w:type="dxa" w:w="2016"/>
            <w:vAlign w:val="top"/>
          </w:tcPr>
          <w:p>
            <w:pPr>
              <w:spacing w:after="40"/>
            </w:pPr>
            <w:r/>
            <w:r>
              <w:rPr>
                <w:b w:val="0"/>
                <w:sz w:val="15"/>
              </w:rPr>
              <w:t>2</w:t>
            </w:r>
          </w:p>
        </w:tc>
        <w:tc>
          <w:tcPr>
            <w:tcW w:type="dxa" w:w="2016"/>
            <w:vAlign w:val="top"/>
          </w:tcPr>
          <w:p>
            <w:pPr>
              <w:spacing w:after="40"/>
            </w:pPr>
            <w:r/>
            <w:r>
              <w:rPr>
                <w:b w:val="0"/>
                <w:sz w:val="15"/>
              </w:rPr>
              <w:t>3</w:t>
            </w:r>
          </w:p>
        </w:tc>
      </w:tr>
    </w:tbl>
    <w:p>
      <w:pPr>
        <w:pStyle w:val="Heading1"/>
      </w:pPr>
      <w:r>
        <w:t>5. Coalition Algorithm: From Symbolic Leadership to Transitional Credibility</w:t>
      </w:r>
    </w:p>
    <w:p>
      <w:r>
        <w:t>A viable national-transition project would require conversion of symbolic capital into institutional trust. The algorithm can be expressed as:</w:t>
      </w:r>
    </w:p>
    <w:p>
      <w:pPr>
        <w:jc w:val="center"/>
      </w:pPr>
      <w:r>
        <w:rPr>
          <w:b/>
          <w:sz w:val="20"/>
        </w:rPr>
        <w:t>Transition credibility = visibility + internal legitimacy + pluralistic guarantees + organisational capacity + international acceptance - historical distrust - factional exclusion - foreign-dependency perception</w:t>
      </w:r>
    </w:p>
    <w:p>
      <w:r>
        <w:t>Each variable is politically sensitive. High visibility can become a liability if paired with polarising messaging. Historical legitimacy can become inclusive if framed as institutional memory and democratic lessons learned, not dynastic entitlement. International support can become useful if it protects human rights and accountability, but damaging if framed as externally imposed regime change.</w:t>
      </w:r>
    </w:p>
    <w:tbl>
      <w:tblPr>
        <w:tblW w:type="auto" w:w="0"/>
        <w:jc w:val="center"/>
        <w:tblLook w:firstColumn="1" w:firstRow="1" w:lastColumn="0" w:lastRow="0" w:noHBand="0" w:noVBand="1" w:val="04A0"/>
      </w:tblPr>
      <w:tblGrid>
        <w:gridCol w:w="3360"/>
        <w:gridCol w:w="3360"/>
        <w:gridCol w:w="3360"/>
      </w:tblGrid>
      <w:tr>
        <w:tc>
          <w:tcPr>
            <w:tcW w:type="dxa" w:w="3360"/>
            <w:vAlign w:val="top"/>
            <w:shd w:fill="1F4E79"/>
          </w:tcPr>
          <w:p>
            <w:pPr>
              <w:spacing w:after="40"/>
            </w:pPr>
            <w:r/>
            <w:r>
              <w:rPr>
                <w:b/>
                <w:sz w:val="16"/>
              </w:rPr>
              <w:t>Requirement</w:t>
            </w:r>
          </w:p>
        </w:tc>
        <w:tc>
          <w:tcPr>
            <w:tcW w:type="dxa" w:w="3360"/>
            <w:vAlign w:val="top"/>
            <w:shd w:fill="1F4E79"/>
          </w:tcPr>
          <w:p>
            <w:pPr>
              <w:spacing w:after="40"/>
            </w:pPr>
            <w:r/>
            <w:r>
              <w:rPr>
                <w:b/>
                <w:sz w:val="16"/>
              </w:rPr>
              <w:t>Operational meaning</w:t>
            </w:r>
          </w:p>
        </w:tc>
        <w:tc>
          <w:tcPr>
            <w:tcW w:type="dxa" w:w="3360"/>
            <w:vAlign w:val="top"/>
            <w:shd w:fill="1F4E79"/>
          </w:tcPr>
          <w:p>
            <w:pPr>
              <w:spacing w:after="40"/>
            </w:pPr>
            <w:r/>
            <w:r>
              <w:rPr>
                <w:b/>
                <w:sz w:val="16"/>
              </w:rPr>
              <w:t>Main caveat</w:t>
            </w:r>
          </w:p>
        </w:tc>
      </w:tr>
      <w:tr>
        <w:tc>
          <w:tcPr>
            <w:tcW w:type="dxa" w:w="3360"/>
            <w:vAlign w:val="top"/>
          </w:tcPr>
          <w:p>
            <w:pPr>
              <w:spacing w:after="40"/>
            </w:pPr>
            <w:r/>
            <w:r>
              <w:rPr>
                <w:b w:val="0"/>
                <w:sz w:val="15"/>
              </w:rPr>
              <w:t>Internal legitimacy</w:t>
            </w:r>
          </w:p>
        </w:tc>
        <w:tc>
          <w:tcPr>
            <w:tcW w:type="dxa" w:w="3360"/>
            <w:vAlign w:val="top"/>
          </w:tcPr>
          <w:p>
            <w:pPr>
              <w:spacing w:after="40"/>
            </w:pPr>
            <w:r/>
            <w:r>
              <w:rPr>
                <w:b w:val="0"/>
                <w:sz w:val="15"/>
              </w:rPr>
              <w:t>Signals from inside Iran, labour strikes, neighbourhood committees, professional associations, women’s networks, student networks and families of victims.</w:t>
            </w:r>
          </w:p>
        </w:tc>
        <w:tc>
          <w:tcPr>
            <w:tcW w:type="dxa" w:w="3360"/>
            <w:vAlign w:val="top"/>
          </w:tcPr>
          <w:p>
            <w:pPr>
              <w:spacing w:after="40"/>
            </w:pPr>
            <w:r/>
            <w:r>
              <w:rPr>
                <w:b w:val="0"/>
                <w:sz w:val="15"/>
              </w:rPr>
              <w:t>Requires verification and protection of people inside Iran.</w:t>
            </w:r>
          </w:p>
        </w:tc>
      </w:tr>
      <w:tr>
        <w:tc>
          <w:tcPr>
            <w:tcW w:type="dxa" w:w="3360"/>
            <w:vAlign w:val="top"/>
          </w:tcPr>
          <w:p>
            <w:pPr>
              <w:spacing w:after="40"/>
            </w:pPr>
            <w:r/>
            <w:r>
              <w:rPr>
                <w:b w:val="0"/>
                <w:sz w:val="15"/>
              </w:rPr>
              <w:t>Pluralistic guarantees</w:t>
            </w:r>
          </w:p>
        </w:tc>
        <w:tc>
          <w:tcPr>
            <w:tcW w:type="dxa" w:w="3360"/>
            <w:vAlign w:val="top"/>
          </w:tcPr>
          <w:p>
            <w:pPr>
              <w:spacing w:after="40"/>
            </w:pPr>
            <w:r/>
            <w:r>
              <w:rPr>
                <w:b w:val="0"/>
                <w:sz w:val="15"/>
              </w:rPr>
              <w:t>Explicit commitment to free parties, free press, independent judiciary, minority rights, labour rights, women’s rights and a referendum/free elections on the future system.</w:t>
            </w:r>
          </w:p>
        </w:tc>
        <w:tc>
          <w:tcPr>
            <w:tcW w:type="dxa" w:w="3360"/>
            <w:vAlign w:val="top"/>
          </w:tcPr>
          <w:p>
            <w:pPr>
              <w:spacing w:after="40"/>
            </w:pPr>
            <w:r/>
            <w:r>
              <w:rPr>
                <w:b w:val="0"/>
                <w:sz w:val="15"/>
              </w:rPr>
              <w:t>Requires written transitional charter, not only speeches.</w:t>
            </w:r>
          </w:p>
        </w:tc>
      </w:tr>
      <w:tr>
        <w:tc>
          <w:tcPr>
            <w:tcW w:type="dxa" w:w="3360"/>
            <w:vAlign w:val="top"/>
          </w:tcPr>
          <w:p>
            <w:pPr>
              <w:spacing w:after="40"/>
            </w:pPr>
            <w:r/>
            <w:r>
              <w:rPr>
                <w:b w:val="0"/>
                <w:sz w:val="15"/>
              </w:rPr>
              <w:t>Left/social-democratic bridge</w:t>
            </w:r>
          </w:p>
        </w:tc>
        <w:tc>
          <w:tcPr>
            <w:tcW w:type="dxa" w:w="3360"/>
            <w:vAlign w:val="top"/>
          </w:tcPr>
          <w:p>
            <w:pPr>
              <w:spacing w:after="40"/>
            </w:pPr>
            <w:r/>
            <w:r>
              <w:rPr>
                <w:b w:val="0"/>
                <w:sz w:val="15"/>
              </w:rPr>
              <w:t>Engagement with moderate leftists, labour organisers, social democrats, non-hardline Marxists, and former left activists who reject the Islamic Republic.</w:t>
            </w:r>
          </w:p>
        </w:tc>
        <w:tc>
          <w:tcPr>
            <w:tcW w:type="dxa" w:w="3360"/>
            <w:vAlign w:val="top"/>
          </w:tcPr>
          <w:p>
            <w:pPr>
              <w:spacing w:after="40"/>
            </w:pPr>
            <w:r/>
            <w:r>
              <w:rPr>
                <w:b w:val="0"/>
                <w:sz w:val="15"/>
              </w:rPr>
              <w:t>Requires ending “death to leftist” language in official or semi-official spaces.</w:t>
            </w:r>
          </w:p>
        </w:tc>
      </w:tr>
      <w:tr>
        <w:tc>
          <w:tcPr>
            <w:tcW w:type="dxa" w:w="3360"/>
            <w:vAlign w:val="top"/>
          </w:tcPr>
          <w:p>
            <w:pPr>
              <w:spacing w:after="40"/>
            </w:pPr>
            <w:r/>
            <w:r>
              <w:rPr>
                <w:b w:val="0"/>
                <w:sz w:val="15"/>
              </w:rPr>
              <w:t>Ethnic bridge</w:t>
            </w:r>
          </w:p>
        </w:tc>
        <w:tc>
          <w:tcPr>
            <w:tcW w:type="dxa" w:w="3360"/>
            <w:vAlign w:val="top"/>
          </w:tcPr>
          <w:p>
            <w:pPr>
              <w:spacing w:after="40"/>
            </w:pPr>
            <w:r/>
            <w:r>
              <w:rPr>
                <w:b w:val="0"/>
                <w:sz w:val="15"/>
              </w:rPr>
              <w:t>Dialogue with Kurdish, Baluchi, Arab, Azeri and other groups on equality, language, development, decentralisation, security and territorial integrity.</w:t>
            </w:r>
          </w:p>
        </w:tc>
        <w:tc>
          <w:tcPr>
            <w:tcW w:type="dxa" w:w="3360"/>
            <w:vAlign w:val="top"/>
          </w:tcPr>
          <w:p>
            <w:pPr>
              <w:spacing w:after="40"/>
            </w:pPr>
            <w:r/>
            <w:r>
              <w:rPr>
                <w:b w:val="0"/>
                <w:sz w:val="15"/>
              </w:rPr>
              <w:t>Requires careful language: neither separatist demonisation nor vague promises.</w:t>
            </w:r>
          </w:p>
        </w:tc>
      </w:tr>
      <w:tr>
        <w:tc>
          <w:tcPr>
            <w:tcW w:type="dxa" w:w="3360"/>
            <w:vAlign w:val="top"/>
          </w:tcPr>
          <w:p>
            <w:pPr>
              <w:spacing w:after="40"/>
            </w:pPr>
            <w:r/>
            <w:r>
              <w:rPr>
                <w:b w:val="0"/>
                <w:sz w:val="15"/>
              </w:rPr>
              <w:t>Right-wing containment</w:t>
            </w:r>
          </w:p>
        </w:tc>
        <w:tc>
          <w:tcPr>
            <w:tcW w:type="dxa" w:w="3360"/>
            <w:vAlign w:val="top"/>
          </w:tcPr>
          <w:p>
            <w:pPr>
              <w:spacing w:after="40"/>
            </w:pPr>
            <w:r/>
            <w:r>
              <w:rPr>
                <w:b w:val="0"/>
                <w:sz w:val="15"/>
              </w:rPr>
              <w:t>Keeping nationalist mobilisation within democratic, non-racist, non-revenge, rule-of-law boundaries.</w:t>
            </w:r>
          </w:p>
        </w:tc>
        <w:tc>
          <w:tcPr>
            <w:tcW w:type="dxa" w:w="3360"/>
            <w:vAlign w:val="top"/>
          </w:tcPr>
          <w:p>
            <w:pPr>
              <w:spacing w:after="40"/>
            </w:pPr>
            <w:r/>
            <w:r>
              <w:rPr>
                <w:b w:val="0"/>
                <w:sz w:val="15"/>
              </w:rPr>
              <w:t>Required for acceptance by European mainstream parties.</w:t>
            </w:r>
          </w:p>
        </w:tc>
      </w:tr>
      <w:tr>
        <w:tc>
          <w:tcPr>
            <w:tcW w:type="dxa" w:w="3360"/>
            <w:vAlign w:val="top"/>
          </w:tcPr>
          <w:p>
            <w:pPr>
              <w:spacing w:after="40"/>
            </w:pPr>
            <w:r/>
            <w:r>
              <w:rPr>
                <w:b w:val="0"/>
                <w:sz w:val="15"/>
              </w:rPr>
              <w:t>Institutional readiness</w:t>
            </w:r>
          </w:p>
        </w:tc>
        <w:tc>
          <w:tcPr>
            <w:tcW w:type="dxa" w:w="3360"/>
            <w:vAlign w:val="top"/>
          </w:tcPr>
          <w:p>
            <w:pPr>
              <w:spacing w:after="40"/>
            </w:pPr>
            <w:r/>
            <w:r>
              <w:rPr>
                <w:b w:val="0"/>
                <w:sz w:val="15"/>
              </w:rPr>
              <w:t>Technocratic transition teams on security-sector reform, sanctions, food, fuel, currency, courts, prisons, media, local administration and reconstruction.</w:t>
            </w:r>
          </w:p>
        </w:tc>
        <w:tc>
          <w:tcPr>
            <w:tcW w:type="dxa" w:w="3360"/>
            <w:vAlign w:val="top"/>
          </w:tcPr>
          <w:p>
            <w:pPr>
              <w:spacing w:after="40"/>
            </w:pPr>
            <w:r/>
            <w:r>
              <w:rPr>
                <w:b w:val="0"/>
                <w:sz w:val="15"/>
              </w:rPr>
              <w:t>Required to look like a government-in-waiting rather than a protest brand.</w:t>
            </w:r>
          </w:p>
        </w:tc>
      </w:tr>
    </w:tbl>
    <w:p>
      <w:pPr>
        <w:pStyle w:val="Heading1"/>
      </w:pPr>
      <w:r>
        <w:t>6. Narrative Adjustments That Would Broaden the Centre</w:t>
      </w:r>
    </w:p>
    <w:p>
      <w:r>
        <w:t>The following are neutral observations about narrative architecture, not personal advice or endorsement. A transitional figure seeking to sit above party politics would need language that reduces fear across multiple constituencies.</w:t>
      </w:r>
    </w:p>
    <w:tbl>
      <w:tblPr>
        <w:tblW w:type="auto" w:w="0"/>
        <w:jc w:val="center"/>
        <w:tblLook w:firstColumn="1" w:firstRow="1" w:lastColumn="0" w:lastRow="0" w:noHBand="0" w:noVBand="1" w:val="04A0"/>
      </w:tblPr>
      <w:tblGrid>
        <w:gridCol w:w="3360"/>
        <w:gridCol w:w="3360"/>
        <w:gridCol w:w="3360"/>
      </w:tblGrid>
      <w:tr>
        <w:tc>
          <w:tcPr>
            <w:tcW w:type="dxa" w:w="3360"/>
            <w:vAlign w:val="top"/>
            <w:shd w:fill="7030A0"/>
          </w:tcPr>
          <w:p>
            <w:pPr>
              <w:spacing w:after="40"/>
            </w:pPr>
            <w:r/>
            <w:r>
              <w:rPr>
                <w:b/>
                <w:sz w:val="16"/>
              </w:rPr>
              <w:t>Narrative shift</w:t>
            </w:r>
          </w:p>
        </w:tc>
        <w:tc>
          <w:tcPr>
            <w:tcW w:type="dxa" w:w="3360"/>
            <w:vAlign w:val="top"/>
            <w:shd w:fill="7030A0"/>
          </w:tcPr>
          <w:p>
            <w:pPr>
              <w:spacing w:after="40"/>
            </w:pPr>
            <w:r/>
            <w:r>
              <w:rPr>
                <w:b/>
                <w:sz w:val="16"/>
              </w:rPr>
              <w:t>Possible formulation</w:t>
            </w:r>
          </w:p>
        </w:tc>
        <w:tc>
          <w:tcPr>
            <w:tcW w:type="dxa" w:w="3360"/>
            <w:vAlign w:val="top"/>
            <w:shd w:fill="7030A0"/>
          </w:tcPr>
          <w:p>
            <w:pPr>
              <w:spacing w:after="40"/>
            </w:pPr>
            <w:r/>
            <w:r>
              <w:rPr>
                <w:b/>
                <w:sz w:val="16"/>
              </w:rPr>
              <w:t>Political function</w:t>
            </w:r>
          </w:p>
        </w:tc>
      </w:tr>
      <w:tr>
        <w:tc>
          <w:tcPr>
            <w:tcW w:type="dxa" w:w="3360"/>
            <w:vAlign w:val="top"/>
          </w:tcPr>
          <w:p>
            <w:pPr>
              <w:spacing w:after="40"/>
            </w:pPr>
            <w:r/>
            <w:r>
              <w:rPr>
                <w:b w:val="0"/>
                <w:sz w:val="15"/>
              </w:rPr>
              <w:t>From dynastic restoration to democratic mandate</w:t>
            </w:r>
          </w:p>
        </w:tc>
        <w:tc>
          <w:tcPr>
            <w:tcW w:type="dxa" w:w="3360"/>
            <w:vAlign w:val="top"/>
          </w:tcPr>
          <w:p>
            <w:pPr>
              <w:spacing w:after="40"/>
            </w:pPr>
            <w:r/>
            <w:r>
              <w:rPr>
                <w:b w:val="0"/>
                <w:sz w:val="15"/>
              </w:rPr>
              <w:t>“The people will decide the final system through free elections and/or referendum.”</w:t>
            </w:r>
          </w:p>
        </w:tc>
        <w:tc>
          <w:tcPr>
            <w:tcW w:type="dxa" w:w="3360"/>
            <w:vAlign w:val="top"/>
          </w:tcPr>
          <w:p>
            <w:pPr>
              <w:spacing w:after="40"/>
            </w:pPr>
            <w:r/>
            <w:r>
              <w:rPr>
                <w:b w:val="0"/>
                <w:sz w:val="15"/>
              </w:rPr>
              <w:t>Reduces republican fear of pre-decided monarchy.</w:t>
            </w:r>
          </w:p>
        </w:tc>
      </w:tr>
      <w:tr>
        <w:tc>
          <w:tcPr>
            <w:tcW w:type="dxa" w:w="3360"/>
            <w:vAlign w:val="top"/>
          </w:tcPr>
          <w:p>
            <w:pPr>
              <w:spacing w:after="40"/>
            </w:pPr>
            <w:r/>
            <w:r>
              <w:rPr>
                <w:b w:val="0"/>
                <w:sz w:val="15"/>
              </w:rPr>
              <w:t>From anti-left anger to anti-totalitarian clarity</w:t>
            </w:r>
          </w:p>
        </w:tc>
        <w:tc>
          <w:tcPr>
            <w:tcW w:type="dxa" w:w="3360"/>
            <w:vAlign w:val="top"/>
          </w:tcPr>
          <w:p>
            <w:pPr>
              <w:spacing w:after="40"/>
            </w:pPr>
            <w:r/>
            <w:r>
              <w:rPr>
                <w:b w:val="0"/>
                <w:sz w:val="15"/>
              </w:rPr>
              <w:t>“The enemy is tyranny, not lawful political pluralism.”</w:t>
            </w:r>
          </w:p>
        </w:tc>
        <w:tc>
          <w:tcPr>
            <w:tcW w:type="dxa" w:w="3360"/>
            <w:vAlign w:val="top"/>
          </w:tcPr>
          <w:p>
            <w:pPr>
              <w:spacing w:after="40"/>
            </w:pPr>
            <w:r/>
            <w:r>
              <w:rPr>
                <w:b w:val="0"/>
                <w:sz w:val="15"/>
              </w:rPr>
              <w:t>Allows moderate leftists to join without humiliation.</w:t>
            </w:r>
          </w:p>
        </w:tc>
      </w:tr>
      <w:tr>
        <w:tc>
          <w:tcPr>
            <w:tcW w:type="dxa" w:w="3360"/>
            <w:vAlign w:val="top"/>
          </w:tcPr>
          <w:p>
            <w:pPr>
              <w:spacing w:after="40"/>
            </w:pPr>
            <w:r/>
            <w:r>
              <w:rPr>
                <w:b w:val="0"/>
                <w:sz w:val="15"/>
              </w:rPr>
              <w:t>From revenge to justice</w:t>
            </w:r>
          </w:p>
        </w:tc>
        <w:tc>
          <w:tcPr>
            <w:tcW w:type="dxa" w:w="3360"/>
            <w:vAlign w:val="top"/>
          </w:tcPr>
          <w:p>
            <w:pPr>
              <w:spacing w:after="40"/>
            </w:pPr>
            <w:r/>
            <w:r>
              <w:rPr>
                <w:b w:val="0"/>
                <w:sz w:val="15"/>
              </w:rPr>
              <w:t>“Accountability through courts, evidence and due process.”</w:t>
            </w:r>
          </w:p>
        </w:tc>
        <w:tc>
          <w:tcPr>
            <w:tcW w:type="dxa" w:w="3360"/>
            <w:vAlign w:val="top"/>
          </w:tcPr>
          <w:p>
            <w:pPr>
              <w:spacing w:after="40"/>
            </w:pPr>
            <w:r/>
            <w:r>
              <w:rPr>
                <w:b w:val="0"/>
                <w:sz w:val="15"/>
              </w:rPr>
              <w:t>Reassures former regime-linked individuals, civil servants and soldiers who may defect.</w:t>
            </w:r>
          </w:p>
        </w:tc>
      </w:tr>
      <w:tr>
        <w:tc>
          <w:tcPr>
            <w:tcW w:type="dxa" w:w="3360"/>
            <w:vAlign w:val="top"/>
          </w:tcPr>
          <w:p>
            <w:pPr>
              <w:spacing w:after="40"/>
            </w:pPr>
            <w:r/>
            <w:r>
              <w:rPr>
                <w:b w:val="0"/>
                <w:sz w:val="15"/>
              </w:rPr>
              <w:t>From foreign rescue to international protection</w:t>
            </w:r>
          </w:p>
        </w:tc>
        <w:tc>
          <w:tcPr>
            <w:tcW w:type="dxa" w:w="3360"/>
            <w:vAlign w:val="top"/>
          </w:tcPr>
          <w:p>
            <w:pPr>
              <w:spacing w:after="40"/>
            </w:pPr>
            <w:r/>
            <w:r>
              <w:rPr>
                <w:b w:val="0"/>
                <w:sz w:val="15"/>
              </w:rPr>
              <w:t>“International support should protect civilians, sanctions accountability, documentation and transition capacity.”</w:t>
            </w:r>
          </w:p>
        </w:tc>
        <w:tc>
          <w:tcPr>
            <w:tcW w:type="dxa" w:w="3360"/>
            <w:vAlign w:val="top"/>
          </w:tcPr>
          <w:p>
            <w:pPr>
              <w:spacing w:after="40"/>
            </w:pPr>
            <w:r/>
            <w:r>
              <w:rPr>
                <w:b w:val="0"/>
                <w:sz w:val="15"/>
              </w:rPr>
              <w:t>Reduces anti-war and sovereignty concerns.</w:t>
            </w:r>
          </w:p>
        </w:tc>
      </w:tr>
      <w:tr>
        <w:tc>
          <w:tcPr>
            <w:tcW w:type="dxa" w:w="3360"/>
            <w:vAlign w:val="top"/>
          </w:tcPr>
          <w:p>
            <w:pPr>
              <w:spacing w:after="40"/>
            </w:pPr>
            <w:r/>
            <w:r>
              <w:rPr>
                <w:b w:val="0"/>
                <w:sz w:val="15"/>
              </w:rPr>
              <w:t>From one camp to national table</w:t>
            </w:r>
          </w:p>
        </w:tc>
        <w:tc>
          <w:tcPr>
            <w:tcW w:type="dxa" w:w="3360"/>
            <w:vAlign w:val="top"/>
          </w:tcPr>
          <w:p>
            <w:pPr>
              <w:spacing w:after="40"/>
            </w:pPr>
            <w:r/>
            <w:r>
              <w:rPr>
                <w:b w:val="0"/>
                <w:sz w:val="15"/>
              </w:rPr>
              <w:t>“Monarchists, republicans, liberals, social democrats, labour activists, ethnic representatives and women’s groups have a place.”</w:t>
            </w:r>
          </w:p>
        </w:tc>
        <w:tc>
          <w:tcPr>
            <w:tcW w:type="dxa" w:w="3360"/>
            <w:vAlign w:val="top"/>
          </w:tcPr>
          <w:p>
            <w:pPr>
              <w:spacing w:after="40"/>
            </w:pPr>
            <w:r/>
            <w:r>
              <w:rPr>
                <w:b w:val="0"/>
                <w:sz w:val="15"/>
              </w:rPr>
              <w:t>Builds a transition coalition rather than a loyalty test.</w:t>
            </w:r>
          </w:p>
        </w:tc>
      </w:tr>
      <w:tr>
        <w:tc>
          <w:tcPr>
            <w:tcW w:type="dxa" w:w="3360"/>
            <w:vAlign w:val="top"/>
          </w:tcPr>
          <w:p>
            <w:pPr>
              <w:spacing w:after="40"/>
            </w:pPr>
            <w:r/>
            <w:r>
              <w:rPr>
                <w:b w:val="0"/>
                <w:sz w:val="15"/>
              </w:rPr>
              <w:t>From centralism to equal citizenship</w:t>
            </w:r>
          </w:p>
        </w:tc>
        <w:tc>
          <w:tcPr>
            <w:tcW w:type="dxa" w:w="3360"/>
            <w:vAlign w:val="top"/>
          </w:tcPr>
          <w:p>
            <w:pPr>
              <w:spacing w:after="40"/>
            </w:pPr>
            <w:r/>
            <w:r>
              <w:rPr>
                <w:b w:val="0"/>
                <w:sz w:val="15"/>
              </w:rPr>
              <w:t>“Territorial integrity and cultural-linguistic equality are compatible.”</w:t>
            </w:r>
          </w:p>
        </w:tc>
        <w:tc>
          <w:tcPr>
            <w:tcW w:type="dxa" w:w="3360"/>
            <w:vAlign w:val="top"/>
          </w:tcPr>
          <w:p>
            <w:pPr>
              <w:spacing w:after="40"/>
            </w:pPr>
            <w:r/>
            <w:r>
              <w:rPr>
                <w:b w:val="0"/>
                <w:sz w:val="15"/>
              </w:rPr>
              <w:t>Addresses ethnic distrust without endorsing fragmentation.</w:t>
            </w:r>
          </w:p>
        </w:tc>
      </w:tr>
    </w:tbl>
    <w:p>
      <w:pPr>
        <w:pStyle w:val="Heading1"/>
      </w:pPr>
      <w:r>
        <w:t>7. Potential Role for Mr Peyman Bakhshayesh</w:t>
      </w:r>
    </w:p>
    <w:p>
      <w:r>
        <w:t>A constructive role for Mr Peyman Bakhshayesh could be defined as that of a professional diaspora interlocutor and bridge-builder between pro-Pahlavi national-reconciliation politics and moderate left, labour, socialist, social-democratic and ethnic-democratic constituencies. The value of such a role lies in combining professional credibility in the United Kingdom, lived experience of Iranian diaspora politics, previous membership and familiarity with the Workers’ Communist Party of Iran, knowledge of Marxist and socialist language, and a declared willingness to support a broad non-sectarian coalition against the Islamic Republic. This role would not require ideological surrender by leftists or monarchists; rather, it would involve translating political fears into negotiable safeguards: free parties, trade-union rights, secular democracy, equal citizenship, women’s rights, due process, minority language and cultural rights, and a people-led decision on Iran’s final constitutional form.</w:t>
      </w:r>
    </w:p>
    <w:p>
      <w:r>
        <w:t>In practical terms, this bridge role could include four functions:</w:t>
      </w:r>
    </w:p>
    <w:p>
      <w:pPr>
        <w:pStyle w:val="ListBullet"/>
      </w:pPr>
      <w:r>
        <w:t>Mapping moderate left, labour, republican and ethnic-democratic actors who reject the Islamic Republic but distrust monarchist dominance.</w:t>
      </w:r>
    </w:p>
    <w:p>
      <w:pPr>
        <w:pStyle w:val="ListBullet"/>
      </w:pPr>
      <w:r>
        <w:t>Drafting a “minimum democratic guarantees” document that can be discussed across ideological camps without forcing premature agreement on monarchy versus republic.</w:t>
      </w:r>
    </w:p>
    <w:p>
      <w:pPr>
        <w:pStyle w:val="ListBullet"/>
      </w:pPr>
      <w:r>
        <w:t>Creating a respectful dialogue channel where former leftists, liberals, constitutional monarchists and ethnic representatives can speak without slogans of humiliation or revenge.</w:t>
      </w:r>
    </w:p>
    <w:p>
      <w:pPr>
        <w:pStyle w:val="ListBullet"/>
      </w:pPr>
      <w:r>
        <w:t>Helping pro-Pahlavi circles understand how their language is heard by European social democrats, trade unions, human-rights organisations and left-liberal media.</w:t>
      </w:r>
    </w:p>
    <w:p>
      <w:r>
        <w:t>The credibility of this role would depend on disciplined neutrality in process: no incitement, no dehumanising slogans, no defence of past abuses by any camp, no sectarian revenge language, and no claim to speak for groups without their consent. Its strongest contribution would be to help design a safe middle ground where anti-Islamic Republic forces can cooperate on transition while postponing final constitutional competition to a free democratic process.</w:t>
      </w:r>
    </w:p>
    <w:p>
      <w:pPr>
        <w:pStyle w:val="Heading1"/>
      </w:pPr>
      <w:r>
        <w:t>8. Scenario Assessment Without Probability Claims</w:t>
      </w:r>
    </w:p>
    <w:p>
      <w:r>
        <w:t>Available public evidence does not permit a reliable probability estimate for Pahlavi’s success as a transitional leader. The more useful assessment is conditional:</w:t>
      </w:r>
    </w:p>
    <w:tbl>
      <w:tblPr>
        <w:tblW w:type="auto" w:w="0"/>
        <w:jc w:val="center"/>
        <w:tblLook w:firstColumn="1" w:firstRow="1" w:lastColumn="0" w:lastRow="0" w:noHBand="0" w:noVBand="1" w:val="04A0"/>
      </w:tblPr>
      <w:tblGrid>
        <w:gridCol w:w="3360"/>
        <w:gridCol w:w="3360"/>
        <w:gridCol w:w="3360"/>
      </w:tblGrid>
      <w:tr>
        <w:tc>
          <w:tcPr>
            <w:tcW w:type="dxa" w:w="3360"/>
            <w:vAlign w:val="top"/>
            <w:shd w:fill="1F4E79"/>
          </w:tcPr>
          <w:p>
            <w:pPr>
              <w:spacing w:after="40"/>
            </w:pPr>
            <w:r/>
            <w:r>
              <w:rPr>
                <w:b/>
                <w:sz w:val="16"/>
              </w:rPr>
              <w:t>Scenario</w:t>
            </w:r>
          </w:p>
        </w:tc>
        <w:tc>
          <w:tcPr>
            <w:tcW w:type="dxa" w:w="3360"/>
            <w:vAlign w:val="top"/>
            <w:shd w:fill="1F4E79"/>
          </w:tcPr>
          <w:p>
            <w:pPr>
              <w:spacing w:after="40"/>
            </w:pPr>
            <w:r/>
            <w:r>
              <w:rPr>
                <w:b/>
                <w:sz w:val="16"/>
              </w:rPr>
              <w:t>Conditions</w:t>
            </w:r>
          </w:p>
        </w:tc>
        <w:tc>
          <w:tcPr>
            <w:tcW w:type="dxa" w:w="3360"/>
            <w:vAlign w:val="top"/>
            <w:shd w:fill="1F4E79"/>
          </w:tcPr>
          <w:p>
            <w:pPr>
              <w:spacing w:after="40"/>
            </w:pPr>
            <w:r/>
            <w:r>
              <w:rPr>
                <w:b/>
                <w:sz w:val="16"/>
              </w:rPr>
              <w:t>Likely political effect</w:t>
            </w:r>
          </w:p>
        </w:tc>
      </w:tr>
      <w:tr>
        <w:tc>
          <w:tcPr>
            <w:tcW w:type="dxa" w:w="3360"/>
            <w:vAlign w:val="top"/>
          </w:tcPr>
          <w:p>
            <w:pPr>
              <w:spacing w:after="40"/>
            </w:pPr>
            <w:r/>
            <w:r>
              <w:rPr>
                <w:b w:val="0"/>
                <w:sz w:val="15"/>
              </w:rPr>
              <w:t>Broad reconciliation pathway</w:t>
            </w:r>
          </w:p>
        </w:tc>
        <w:tc>
          <w:tcPr>
            <w:tcW w:type="dxa" w:w="3360"/>
            <w:vAlign w:val="top"/>
          </w:tcPr>
          <w:p>
            <w:pPr>
              <w:spacing w:after="40"/>
            </w:pPr>
            <w:r/>
            <w:r>
              <w:rPr>
                <w:b w:val="0"/>
                <w:sz w:val="15"/>
              </w:rPr>
              <w:t>Pahlavi is framed as a temporary national figure; a pluralistic charter is issued; moderate left and ethnic groups are treated as partners; European mainstream parties see democratic safeguards.</w:t>
            </w:r>
          </w:p>
        </w:tc>
        <w:tc>
          <w:tcPr>
            <w:tcW w:type="dxa" w:w="3360"/>
            <w:vAlign w:val="top"/>
          </w:tcPr>
          <w:p>
            <w:pPr>
              <w:spacing w:after="40"/>
            </w:pPr>
            <w:r/>
            <w:r>
              <w:rPr>
                <w:b w:val="0"/>
                <w:sz w:val="15"/>
              </w:rPr>
              <w:t>Leadership claim becomes more acceptable beyond monarchist circles.</w:t>
            </w:r>
          </w:p>
        </w:tc>
      </w:tr>
      <w:tr>
        <w:tc>
          <w:tcPr>
            <w:tcW w:type="dxa" w:w="3360"/>
            <w:vAlign w:val="top"/>
          </w:tcPr>
          <w:p>
            <w:pPr>
              <w:spacing w:after="40"/>
            </w:pPr>
            <w:r/>
            <w:r>
              <w:rPr>
                <w:b w:val="0"/>
                <w:sz w:val="15"/>
              </w:rPr>
              <w:t>Factional monarchist pathway</w:t>
            </w:r>
          </w:p>
        </w:tc>
        <w:tc>
          <w:tcPr>
            <w:tcW w:type="dxa" w:w="3360"/>
            <w:vAlign w:val="top"/>
          </w:tcPr>
          <w:p>
            <w:pPr>
              <w:spacing w:after="40"/>
            </w:pPr>
            <w:r/>
            <w:r>
              <w:rPr>
                <w:b w:val="0"/>
                <w:sz w:val="15"/>
              </w:rPr>
              <w:t>Supporters continue exclusionary slogans; history is defended rather than examined; leftists and ethnic groups are treated as enemies; European right-wing links dominate optics.</w:t>
            </w:r>
          </w:p>
        </w:tc>
        <w:tc>
          <w:tcPr>
            <w:tcW w:type="dxa" w:w="3360"/>
            <w:vAlign w:val="top"/>
          </w:tcPr>
          <w:p>
            <w:pPr>
              <w:spacing w:after="40"/>
            </w:pPr>
            <w:r/>
            <w:r>
              <w:rPr>
                <w:b w:val="0"/>
                <w:sz w:val="15"/>
              </w:rPr>
              <w:t>Leadership claim remains mobilising for loyal supporters but polarising for broader opposition.</w:t>
            </w:r>
          </w:p>
        </w:tc>
      </w:tr>
      <w:tr>
        <w:tc>
          <w:tcPr>
            <w:tcW w:type="dxa" w:w="3360"/>
            <w:vAlign w:val="top"/>
          </w:tcPr>
          <w:p>
            <w:pPr>
              <w:spacing w:after="40"/>
            </w:pPr>
            <w:r/>
            <w:r>
              <w:rPr>
                <w:b w:val="0"/>
                <w:sz w:val="15"/>
              </w:rPr>
              <w:t>Foreign-intervention pathway</w:t>
            </w:r>
          </w:p>
        </w:tc>
        <w:tc>
          <w:tcPr>
            <w:tcW w:type="dxa" w:w="3360"/>
            <w:vAlign w:val="top"/>
          </w:tcPr>
          <w:p>
            <w:pPr>
              <w:spacing w:after="40"/>
            </w:pPr>
            <w:r/>
            <w:r>
              <w:rPr>
                <w:b w:val="0"/>
                <w:sz w:val="15"/>
              </w:rPr>
              <w:t>The movement becomes identified primarily with US/Israeli military pressure rather than Iranian civic agency and international law.</w:t>
            </w:r>
          </w:p>
        </w:tc>
        <w:tc>
          <w:tcPr>
            <w:tcW w:type="dxa" w:w="3360"/>
            <w:vAlign w:val="top"/>
          </w:tcPr>
          <w:p>
            <w:pPr>
              <w:spacing w:after="40"/>
            </w:pPr>
            <w:r/>
            <w:r>
              <w:rPr>
                <w:b w:val="0"/>
                <w:sz w:val="15"/>
              </w:rPr>
              <w:t>Can accelerate regime pressure but risks nationalist backlash, anti-war opposition and legal controversy.</w:t>
            </w:r>
          </w:p>
        </w:tc>
      </w:tr>
      <w:tr>
        <w:tc>
          <w:tcPr>
            <w:tcW w:type="dxa" w:w="3360"/>
            <w:vAlign w:val="top"/>
          </w:tcPr>
          <w:p>
            <w:pPr>
              <w:spacing w:after="40"/>
            </w:pPr>
            <w:r/>
            <w:r>
              <w:rPr>
                <w:b w:val="0"/>
                <w:sz w:val="15"/>
              </w:rPr>
              <w:t>Institutional-transition pathway</w:t>
            </w:r>
          </w:p>
        </w:tc>
        <w:tc>
          <w:tcPr>
            <w:tcW w:type="dxa" w:w="3360"/>
            <w:vAlign w:val="top"/>
          </w:tcPr>
          <w:p>
            <w:pPr>
              <w:spacing w:after="40"/>
            </w:pPr>
            <w:r/>
            <w:r>
              <w:rPr>
                <w:b w:val="0"/>
                <w:sz w:val="15"/>
              </w:rPr>
              <w:t>A credible government-in-waiting architecture appears: security reform, courts, prisons, sanctions, local administration, economic stabilisation and transitional justice.</w:t>
            </w:r>
          </w:p>
        </w:tc>
        <w:tc>
          <w:tcPr>
            <w:tcW w:type="dxa" w:w="3360"/>
            <w:vAlign w:val="top"/>
          </w:tcPr>
          <w:p>
            <w:pPr>
              <w:spacing w:after="40"/>
            </w:pPr>
            <w:r/>
            <w:r>
              <w:rPr>
                <w:b w:val="0"/>
                <w:sz w:val="15"/>
              </w:rPr>
              <w:t>Symbolic leadership gains administrative plausibility.</w:t>
            </w:r>
          </w:p>
        </w:tc>
      </w:tr>
      <w:tr>
        <w:tc>
          <w:tcPr>
            <w:tcW w:type="dxa" w:w="3360"/>
            <w:vAlign w:val="top"/>
          </w:tcPr>
          <w:p>
            <w:pPr>
              <w:spacing w:after="40"/>
            </w:pPr>
            <w:r/>
            <w:r>
              <w:rPr>
                <w:b w:val="0"/>
                <w:sz w:val="15"/>
              </w:rPr>
              <w:t>Fragmentation pathway</w:t>
            </w:r>
          </w:p>
        </w:tc>
        <w:tc>
          <w:tcPr>
            <w:tcW w:type="dxa" w:w="3360"/>
            <w:vAlign w:val="top"/>
          </w:tcPr>
          <w:p>
            <w:pPr>
              <w:spacing w:after="40"/>
            </w:pPr>
            <w:r/>
            <w:r>
              <w:rPr>
                <w:b w:val="0"/>
                <w:sz w:val="15"/>
              </w:rPr>
              <w:t>Opposition actors compete for recognition; no shared minimum charter; internal Iran networks remain disconnected from diaspora leadership.</w:t>
            </w:r>
          </w:p>
        </w:tc>
        <w:tc>
          <w:tcPr>
            <w:tcW w:type="dxa" w:w="3360"/>
            <w:vAlign w:val="top"/>
          </w:tcPr>
          <w:p>
            <w:pPr>
              <w:spacing w:after="40"/>
            </w:pPr>
            <w:r/>
            <w:r>
              <w:rPr>
                <w:b w:val="0"/>
                <w:sz w:val="15"/>
              </w:rPr>
              <w:t>No single figure can translate visibility into authority.</w:t>
            </w:r>
          </w:p>
        </w:tc>
      </w:tr>
    </w:tbl>
    <w:p>
      <w:pPr>
        <w:pStyle w:val="Heading1"/>
      </w:pPr>
      <w:r>
        <w:t>9. Minimum Coalition Charter: Suggested Analytical Structure</w:t>
      </w:r>
    </w:p>
    <w:p>
      <w:r>
        <w:t>A minimum charter capable of attracting monarchists, republicans, liberals, social democrats, labour activists and ethnic-democratic groups would need to separate immediate transition principles from the final constitutional question.</w:t>
      </w:r>
    </w:p>
    <w:p>
      <w:pPr>
        <w:pStyle w:val="ListBullet"/>
      </w:pPr>
      <w:r>
        <w:t>Immediate objective: end the Islamic Republic’s coercive rule and protect civilians.</w:t>
      </w:r>
    </w:p>
    <w:p>
      <w:pPr>
        <w:pStyle w:val="ListBullet"/>
      </w:pPr>
      <w:r>
        <w:t>Process principle: the final political system is decided by the people through free, internationally observed democratic mechanisms.</w:t>
      </w:r>
    </w:p>
    <w:p>
      <w:pPr>
        <w:pStyle w:val="ListBullet"/>
      </w:pPr>
      <w:r>
        <w:t>Rights principle: equality before law, women’s rights, freedom of belief, freedom of expression, freedom of assembly and free political parties.</w:t>
      </w:r>
    </w:p>
    <w:p>
      <w:pPr>
        <w:pStyle w:val="ListBullet"/>
      </w:pPr>
      <w:r>
        <w:t>Labour/social principle: recognition of trade unions, social protections, public services and anti-corruption safeguards.</w:t>
      </w:r>
    </w:p>
    <w:p>
      <w:pPr>
        <w:pStyle w:val="ListBullet"/>
      </w:pPr>
      <w:r>
        <w:t>Ethnic/cultural principle: equal citizenship, cultural and language rights, balanced regional development and rejection of collective punishment.</w:t>
      </w:r>
    </w:p>
    <w:p>
      <w:pPr>
        <w:pStyle w:val="ListBullet"/>
      </w:pPr>
      <w:r>
        <w:t>Justice principle: evidence-based accountability, independent courts, due process, no revenge killings and no blanket demonisation of social groups.</w:t>
      </w:r>
    </w:p>
    <w:p>
      <w:pPr>
        <w:pStyle w:val="ListBullet"/>
      </w:pPr>
      <w:r>
        <w:t>Security principle: professional, national, non-ideological armed forces and police under civilian democratic control.</w:t>
      </w:r>
    </w:p>
    <w:p>
      <w:pPr>
        <w:pStyle w:val="ListBullet"/>
      </w:pPr>
      <w:r>
        <w:t>International principle: peaceful relations with neighbours, rejection of proxy warfare, and reintegration into the international economy under national sovereignty.</w:t>
      </w:r>
    </w:p>
    <w:p>
      <w:pPr>
        <w:pStyle w:val="Heading1"/>
      </w:pPr>
      <w:r>
        <w:t>10. Conclusion</w:t>
      </w:r>
    </w:p>
    <w:p>
      <w:r>
        <w:t>Crown Prince Reza Pahlavi’s leadership prospects are strengthened by visibility, symbolic recognition, democratic-transition language, and the Islamic Republic’s severe legitimacy crisis. They are weakened by historical distrust, opposition fragmentation, association with right-wing political channels, polarising slogans by some supporters, controversy over foreign military intervention, and the absence of clearly demonstrated institutional capacity inside Iran.</w:t>
      </w:r>
    </w:p>
    <w:p>
      <w:r>
        <w:t>The decisive issue is whether the Pahlavi project can become a national-reconciliation platform rather than a monarchist loyalty arena. That requires credible pluralistic guarantees, respect for moderate left and ethnic-democratic constituencies, a clear distinction between justice and revenge, and an institutional transition plan. A diaspora bridge-builder with left experience and professional credibility could contribute meaningfully by reducing mistrust, translating political language between camps, and helping formulate a common democratic minimum.</w:t>
      </w:r>
    </w:p>
    <w:p>
      <w:pPr>
        <w:pStyle w:val="Heading1"/>
      </w:pPr>
      <w:r>
        <w:t>References</w:t>
      </w:r>
    </w:p>
    <w:p>
      <w:pPr>
        <w:pStyle w:val="ListNumber"/>
        <w:spacing w:after="60"/>
      </w:pPr>
      <w:r>
        <w:rPr>
          <w:sz w:val="18"/>
        </w:rPr>
        <w:t>Amnesty International. (2026, January 23). Iran: Authorities unleash heavily militarized clampdown to hide protest massacres. Retrieved 19 May 2026.</w:t>
      </w:r>
    </w:p>
    <w:p>
      <w:pPr>
        <w:pStyle w:val="ListNumber"/>
        <w:spacing w:after="60"/>
      </w:pPr>
      <w:r>
        <w:rPr>
          <w:sz w:val="18"/>
        </w:rPr>
        <w:t>Euronews. (2026, March 3). European Parliament considers invitation to Reza Pahlavi amid calls for regime change in Iran. Retrieved 19 May 2026.</w:t>
      </w:r>
    </w:p>
    <w:p>
      <w:pPr>
        <w:pStyle w:val="ListNumber"/>
        <w:spacing w:after="60"/>
      </w:pPr>
      <w:r>
        <w:rPr>
          <w:sz w:val="18"/>
        </w:rPr>
        <w:t>House of Commons Library. (2026, April 24). US-Iran ceasefire and nuclear talks in 2026. Research Briefing CBP-10637. Retrieved 19 May 2026.</w:t>
      </w:r>
    </w:p>
    <w:p>
      <w:pPr>
        <w:pStyle w:val="ListNumber"/>
        <w:spacing w:after="60"/>
      </w:pPr>
      <w:r>
        <w:rPr>
          <w:sz w:val="18"/>
        </w:rPr>
        <w:t>Le Monde. (2026, January 26). Mai Sato, UN rapporteur on Iran: “There could be tens of thousands of victims.” Retrieved 19 May 2026.</w:t>
      </w:r>
    </w:p>
    <w:p>
      <w:pPr>
        <w:pStyle w:val="ListNumber"/>
        <w:spacing w:after="60"/>
      </w:pPr>
      <w:r>
        <w:rPr>
          <w:sz w:val="18"/>
        </w:rPr>
        <w:t>Reuters. (2026, February 13). Zelenskiy meets Iranian opposition figure Pahlavi. Retrieved 19 May 2026.</w:t>
      </w:r>
    </w:p>
    <w:p>
      <w:pPr>
        <w:pStyle w:val="ListNumber"/>
        <w:spacing w:after="60"/>
      </w:pPr>
      <w:r>
        <w:rPr>
          <w:sz w:val="18"/>
        </w:rPr>
        <w:t>Reuters. (2026, February 14). Son of Iran’s last shah urges US military intervention in Iran. Retrieved 19 May 2026.</w:t>
      </w:r>
    </w:p>
    <w:p>
      <w:pPr>
        <w:pStyle w:val="ListNumber"/>
        <w:spacing w:after="60"/>
      </w:pPr>
      <w:r>
        <w:rPr>
          <w:sz w:val="18"/>
        </w:rPr>
        <w:t>Reuters. (2026, May 18). No deal, no exit: How US-Iran standoff risks fresh conflict. Retrieved 19 May 2026.</w:t>
      </w:r>
    </w:p>
    <w:p>
      <w:pPr>
        <w:pStyle w:val="ListNumber"/>
        <w:spacing w:after="60"/>
      </w:pPr>
      <w:r>
        <w:rPr>
          <w:sz w:val="18"/>
        </w:rPr>
        <w:t>Reza Pahlavi official website. About Reza Pahlavi; Fundamental Principles. Retrieved 19 May 2026.</w:t>
      </w:r>
    </w:p>
    <w:p>
      <w:pPr>
        <w:pStyle w:val="ListNumber"/>
        <w:spacing w:after="60"/>
      </w:pPr>
      <w:r>
        <w:rPr>
          <w:sz w:val="18"/>
        </w:rPr>
        <w:t>UK Foreign, Commonwealth &amp; Development Office. (2026, January 23). UN Human Rights Council Special Session to address the deteriorating human rights situation in the Islamic Republic of Iran. Retrieved 19 May 2026.</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Narrative Analysis - Prepared 19 May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