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763"/>
          <w:sz w:val="46"/>
        </w:rPr>
        <w:t>Nietzsche's Ubermensch and the Philosophical Development of Human Flourishing</w:t>
      </w:r>
    </w:p>
    <w:p>
      <w:pPr>
        <w:jc w:val="center"/>
      </w:pPr>
      <w:r>
        <w:rPr>
          <w:i/>
          <w:color w:val="595959"/>
          <w:sz w:val="26"/>
        </w:rPr>
        <w:t>From self-mastery and tragic affirmation to ecstasy, happiness, and control</w:t>
      </w:r>
    </w:p>
    <w:p>
      <w:pPr>
        <w:jc w:val="center"/>
      </w:pPr>
      <w:r>
        <w:rPr>
          <w:sz w:val="22"/>
        </w:rPr>
        <w:t>Prepared in English with comparative philosophical references</w:t>
      </w:r>
    </w:p>
    <w:p>
      <w:pPr>
        <w:pBdr>
          <w:bottom w:val="single" w:sz="6" w:space="1" w:color="7F7F7F"/>
        </w:pBdr>
      </w:pPr>
      <w:r>
        <w:br/>
      </w:r>
    </w:p>
    <w:p>
      <w:pPr>
        <w:pStyle w:val="Heading1"/>
      </w:pPr>
      <w:r>
        <w:t>Executive Summary</w:t>
      </w:r>
    </w:p>
    <w:p>
      <w:r>
        <w:t>Nietzsche's Ubermensch is not merely a powerful, wealthy, fearless, or socially independent individual. It is Nietzsche's name for a higher type of human being who creates values after the collapse of inherited metaphysical certainties, affirms life without resentment, and transforms suffering into strength. This article analyses the Ubermensch as a model of self-overcoming, compares it with older and later ideals of human perfection, and distinguishes Nietzsche's ecstatic affirmation from Epicurean tranquillity, Platonic ascent, Aristotelian flourishing, Kantian autonomy, Hegelian recognition, Marxian emancipation, Weberian vocation, and Freudian sublimation. The common theme is not simple happiness but disciplined development: the human being becomes freer by ordering desire, accepting finitude, mastering fear, and acting according to a self-legislated or rationally chosen form of life.</w:t>
      </w:r>
    </w:p>
    <w:p>
      <w:r>
        <w:rPr>
          <w:b/>
        </w:rPr>
        <w:t xml:space="preserve">Keywords: </w:t>
      </w:r>
      <w:r>
        <w:t>Ubermensch; self-overcoming; amor fati; eudaimonia; autonomy; recognition; alienation; sublimation; ecstasy; human flourishing.</w:t>
      </w:r>
    </w:p>
    <w:p>
      <w:r>
        <w:br w:type="page"/>
      </w:r>
    </w:p>
    <w:p>
      <w:pPr>
        <w:pStyle w:val="Heading1"/>
      </w:pPr>
      <w:r>
        <w:t>Contents</w:t>
      </w:r>
    </w:p>
    <w:p>
      <w:pPr>
        <w:pStyle w:val="ListBullet"/>
      </w:pPr>
      <w:r>
        <w:t>1. Introduction: the human desire to become whole</w:t>
      </w:r>
    </w:p>
    <w:p>
      <w:pPr>
        <w:pStyle w:val="ListBullet"/>
      </w:pPr>
      <w:r>
        <w:t>2. Nietzsche: what is the Ubermensch?</w:t>
      </w:r>
    </w:p>
    <w:p>
      <w:pPr>
        <w:pStyle w:val="ListBullet"/>
      </w:pPr>
      <w:r>
        <w:t>3. Ecstasy, happiness, self-control, and death</w:t>
      </w:r>
    </w:p>
    <w:p>
      <w:pPr>
        <w:pStyle w:val="ListBullet"/>
      </w:pPr>
      <w:r>
        <w:t>4. Comparative philosophical traditions</w:t>
      </w:r>
    </w:p>
    <w:p>
      <w:pPr>
        <w:pStyle w:val="ListBullet"/>
      </w:pPr>
      <w:r>
        <w:t>5. Synthesis: from dependence to self-overcoming</w:t>
      </w:r>
    </w:p>
    <w:p>
      <w:pPr>
        <w:pStyle w:val="ListBullet"/>
      </w:pPr>
      <w:r>
        <w:t>6. Conclusion</w:t>
      </w:r>
    </w:p>
    <w:p>
      <w:pPr>
        <w:pStyle w:val="ListBullet"/>
      </w:pPr>
      <w:r>
        <w:t>References</w:t>
      </w:r>
    </w:p>
    <w:p>
      <w:r>
        <w:br w:type="page"/>
      </w:r>
    </w:p>
    <w:p>
      <w:pPr>
        <w:pStyle w:val="Heading1"/>
      </w:pPr>
      <w:r>
        <w:t>1. Introduction: the human desire to become whole</w:t>
      </w:r>
    </w:p>
    <w:p>
      <w:r>
        <w:t>Human beings often imagine happiness as the acquisition of external goods: more money, more friends, more status, more love, more security, or more recognition. A deeper philosophical tradition asks a different question: can a person become inwardly ordered enough that happiness no longer depends primarily on external possession? This does not mean rejecting money, friendship, love, or society. It means that the centre of gravity moves inward: the person becomes capable of self-command, mature judgment, courage in uncertainty, and acceptance of mortality.</w:t>
      </w:r>
    </w:p>
    <w:p>
      <w:r>
        <w:t>Nietzsche gives this question one of its most dramatic expressions in the figure of the Ubermensch, commonly translated as 'Overman' or 'Superman'. The term appears most famously in Thus Spoke Zarathustra, where Zarathustra declares that humanity is something to be overcome. Nietzsche's point is not that humanity should become a biological master race, nor that the strong should dominate the weak in a vulgar political sense. The Ubermensch is a spiritual, existential, and axiological ideal: a human being who overcomes herd morality, resentment, nihilism, and passive dependence on inherited values.</w:t>
      </w:r>
    </w:p>
    <w:p>
      <w:pPr>
        <w:pStyle w:val="Heading1"/>
      </w:pPr>
      <w:r>
        <w:t>2. Nietzsche: what is the Ubermensch?</w:t>
      </w:r>
    </w:p>
    <w:p>
      <w:r>
        <w:t>The Ubermensch is Nietzsche's answer to the crisis created by the 'death of God'. By this phrase Nietzsche does not simply mean atheism. He means that the old metaphysical foundations of European morality have lost binding authority. If inherited religious, moral, and social certainties collapse, a weaker person falls into nihilism: the belief that nothing has meaning. The higher person responds differently: he creates meaning, affirms life, and becomes capable of living without metaphysical guarantees.</w:t>
      </w:r>
    </w:p>
    <w:p>
      <w:r/>
      <w:r>
        <w:t>The Ubermensch is therefore best understood through five connected ideas drawn mainly from Thus Spoke Zarathustra, The Gay Science, Beyond Good and Evil, and On the Genealogy of Morality (Nietzsche, 1883-1885/2005; 1882/1974; 1886/1966; 1887/1998).</w:t>
      </w:r>
    </w:p>
    <w:p>
      <w:pPr>
        <w:pStyle w:val="ListBullet"/>
      </w:pPr>
      <w:r>
        <w:rPr>
          <w:b/>
        </w:rPr>
        <w:t xml:space="preserve">Self-overcoming: </w:t>
      </w:r>
      <w:r>
        <w:t>The human being is not a finished essence but a bridge. One must overcome one's own laziness, fear, resentment, dependence, and inherited assumptions.</w:t>
      </w:r>
    </w:p>
    <w:p>
      <w:pPr>
        <w:pStyle w:val="ListBullet"/>
      </w:pPr>
      <w:r>
        <w:rPr>
          <w:b/>
        </w:rPr>
        <w:t xml:space="preserve">Will to power: </w:t>
      </w:r>
      <w:r>
        <w:t>This is not merely political domination. It is the basic drive of life to expand, form, interpret, create, command, and give shape to chaos.</w:t>
      </w:r>
    </w:p>
    <w:p>
      <w:pPr>
        <w:pStyle w:val="ListBullet"/>
      </w:pPr>
      <w:r>
        <w:rPr>
          <w:b/>
        </w:rPr>
        <w:t xml:space="preserve">Creation of values: </w:t>
      </w:r>
      <w:r>
        <w:t>The higher human being does not merely obey inherited moral codes. He creates values that express strength, honesty, discipline, style, and life-affirmation.</w:t>
      </w:r>
    </w:p>
    <w:p>
      <w:pPr>
        <w:pStyle w:val="ListBullet"/>
      </w:pPr>
      <w:r>
        <w:rPr>
          <w:b/>
        </w:rPr>
        <w:t xml:space="preserve">Amor fati: </w:t>
      </w:r>
      <w:r>
        <w:t>The mature spirit learns to love fate: not simply to tolerate what happens, but to affirm life as a whole, including suffering and limitation.</w:t>
      </w:r>
    </w:p>
    <w:p>
      <w:pPr>
        <w:pStyle w:val="ListBullet"/>
      </w:pPr>
      <w:r>
        <w:rPr>
          <w:b/>
        </w:rPr>
        <w:t xml:space="preserve">Eternal recurrence: </w:t>
      </w:r>
      <w:r>
        <w:t>Nietzsche's thought experiment asks whether one could will the repetition of one's life eternally. The Ubermensch would be able to say yes to existence without evasion.</w:t>
      </w:r>
    </w:p>
    <w:p>
      <w:r>
        <w:t>In this sense, the Ubermensch is not a man who has no need of love or friendship because he is emotionally cold. Rather, he is not enslaved by neediness. He can love without begging for validation, possess money without worshipping it, exercise power without becoming petty, and face death without fleeing into illusion.</w:t>
      </w:r>
    </w:p>
    <w:p>
      <w:r>
        <w:t>Nietzsche's ideal is also aesthetic. The higher person gives form to the self as an artist gives form to material. One's instincts are not simply suppressed, as in a rigid moralism, but disciplined, ranked, transformed, and integrated into a higher style of life.</w:t>
      </w:r>
    </w:p>
    <w:p>
      <w:pPr>
        <w:pStyle w:val="PhilosophicalQuote"/>
      </w:pPr>
      <w:r>
        <w:t xml:space="preserve">Core Nietzschean formulation: </w:t>
      </w:r>
      <w:r>
        <w:t xml:space="preserve">man is a bridge between animal and Ubermensch; greatness lies in transition and self-overcoming, not in static comfort. </w:t>
      </w:r>
      <w:r>
        <w:t>This is a paraphrase of the opening movement of Thus Spoke Zarathustra.</w:t>
      </w:r>
    </w:p>
    <w:p>
      <w:pPr>
        <w:pStyle w:val="Heading1"/>
      </w:pPr>
      <w:r>
        <w:t>3. Ecstasy, happiness, self-control, and death</w:t>
      </w:r>
    </w:p>
    <w:p>
      <w:r>
        <w:t>The state you describe - strength, self-command, freedom from the compulsive need for more, and harmony with life and death - overlaps with Nietzsche, but it should be stated carefully. Nietzsche does not present happiness as permanent calm. His higher human being does not escape conflict. He becomes capable of transforming conflict into creative energy. This is closer to ecstasy, intensity, and affirmation than to quiet contentment.</w:t>
      </w:r>
    </w:p>
    <w:p>
      <w:r>
        <w:t>For Nietzsche, suffering is not automatically good, but the capacity to use suffering is central to greatness. The weak person asks, 'How can I avoid pain?' The stronger person asks, 'What can I become through this?' Self-mastery is therefore not anaesthesia. It is the ability to remain creative under pressure.</w:t>
      </w:r>
    </w:p>
    <w:p>
      <w:r>
        <w:t>Death also changes meaning. In many philosophical traditions, fear of death is a sign that the person remains attached to illusion, appetite, or egoic self-preservation. Nietzsche does not claim that death is literally a continuation of life by other means in a religious sense. He instead asks for a yes-saying attitude to the whole of life: birth, decay, danger, loss, joy, achievement, and death are not errors in existence but part of its tragic totality. The Ubermensch is capable of saying yes to this totality.</w:t>
      </w:r>
    </w:p>
    <w:p>
      <w:pPr>
        <w:pStyle w:val="Heading1"/>
      </w:pPr>
      <w:r>
        <w:t>4. Comparative philosophical traditions</w:t>
      </w:r>
    </w:p>
    <w:p>
      <w:r>
        <w:t>Many philosophers describe forms of human development that resemble parts of Nietzsche's Ubermensch, though none are identical. The following comparison shows how each thinker imagines the movement from ordinary dependence to a higher form of freedom or fulfilment.</w:t>
      </w:r>
    </w:p>
    <w:p>
      <w:pPr>
        <w:sectPr>
          <w:footerReference w:type="default" r:id="rId9"/>
          <w:pgSz w:w="12240" w:h="15840"/>
          <w:pgMar w:top="1247" w:right="1247" w:bottom="1134" w:left="1247" w:header="720" w:footer="720" w:gutter="0"/>
          <w:cols w:space="720"/>
          <w:docGrid w:linePitch="360"/>
        </w:sectPr>
      </w:pPr>
    </w:p>
    <w:tbl>
      <w:tblPr>
        <w:tblStyle w:val="TableGrid"/>
        <w:tblW w:type="auto" w:w="0"/>
        <w:jc w:val="center"/>
        <w:tblLook w:firstColumn="1" w:firstRow="1" w:lastColumn="0" w:lastRow="0" w:noHBand="0" w:noVBand="1" w:val="04A0"/>
      </w:tblPr>
      <w:tblGrid>
        <w:gridCol w:w="2375"/>
        <w:gridCol w:w="2375"/>
        <w:gridCol w:w="2375"/>
        <w:gridCol w:w="2375"/>
        <w:gridCol w:w="2375"/>
        <w:gridCol w:w="2375"/>
      </w:tblGrid>
      <w:tr>
        <w:tc>
          <w:tcPr>
            <w:tcW w:type="dxa" w:w="2375"/>
            <w:shd w:fill="D9EAF7"/>
            <w:vAlign w:val="center"/>
            <w:tcW w:w="1700" w:type="dxa"/>
          </w:tcPr>
          <w:p>
            <w:pPr>
              <w:spacing w:after="0" w:line="216" w:lineRule="auto"/>
            </w:pPr>
            <w:r>
              <w:rPr>
                <w:sz w:val="15"/>
              </w:rPr>
            </w:r>
            <w:r>
              <w:rPr>
                <w:b/>
                <w:sz w:val="14"/>
              </w:rPr>
              <w:t>Thinker</w:t>
            </w:r>
          </w:p>
        </w:tc>
        <w:tc>
          <w:tcPr>
            <w:tcW w:type="dxa" w:w="2375"/>
            <w:shd w:fill="D9EAF7"/>
            <w:vAlign w:val="center"/>
            <w:tcW w:w="2400" w:type="dxa"/>
          </w:tcPr>
          <w:p>
            <w:pPr>
              <w:spacing w:after="0" w:line="216" w:lineRule="auto"/>
            </w:pPr>
            <w:r>
              <w:rPr>
                <w:sz w:val="15"/>
              </w:rPr>
            </w:r>
            <w:r>
              <w:rPr>
                <w:b/>
                <w:sz w:val="14"/>
              </w:rPr>
              <w:t>Ideal of development</w:t>
            </w:r>
          </w:p>
        </w:tc>
        <w:tc>
          <w:tcPr>
            <w:tcW w:type="dxa" w:w="2375"/>
            <w:shd w:fill="D9EAF7"/>
            <w:vAlign w:val="center"/>
            <w:tcW w:w="2700" w:type="dxa"/>
          </w:tcPr>
          <w:p>
            <w:pPr>
              <w:spacing w:after="0" w:line="216" w:lineRule="auto"/>
            </w:pPr>
            <w:r>
              <w:rPr>
                <w:sz w:val="15"/>
              </w:rPr>
            </w:r>
            <w:r>
              <w:rPr>
                <w:b/>
                <w:sz w:val="14"/>
              </w:rPr>
              <w:t>Route to maturity</w:t>
            </w:r>
          </w:p>
        </w:tc>
        <w:tc>
          <w:tcPr>
            <w:tcW w:type="dxa" w:w="2375"/>
            <w:shd w:fill="D9EAF7"/>
            <w:vAlign w:val="center"/>
            <w:tcW w:w="2700" w:type="dxa"/>
          </w:tcPr>
          <w:p>
            <w:pPr>
              <w:spacing w:after="0" w:line="216" w:lineRule="auto"/>
            </w:pPr>
            <w:r>
              <w:rPr>
                <w:sz w:val="15"/>
              </w:rPr>
            </w:r>
            <w:r>
              <w:rPr>
                <w:b/>
                <w:sz w:val="14"/>
              </w:rPr>
              <w:t>Relation to happiness</w:t>
            </w:r>
          </w:p>
        </w:tc>
        <w:tc>
          <w:tcPr>
            <w:tcW w:type="dxa" w:w="2375"/>
            <w:shd w:fill="D9EAF7"/>
            <w:vAlign w:val="center"/>
            <w:tcW w:w="2600" w:type="dxa"/>
          </w:tcPr>
          <w:p>
            <w:pPr>
              <w:spacing w:after="0" w:line="216" w:lineRule="auto"/>
            </w:pPr>
            <w:r>
              <w:rPr>
                <w:sz w:val="15"/>
              </w:rPr>
            </w:r>
            <w:r>
              <w:rPr>
                <w:b/>
                <w:sz w:val="14"/>
              </w:rPr>
              <w:t>Relation to death/finitude</w:t>
            </w:r>
          </w:p>
        </w:tc>
        <w:tc>
          <w:tcPr>
            <w:tcW w:type="dxa" w:w="2375"/>
            <w:shd w:fill="D9EAF7"/>
            <w:vAlign w:val="center"/>
            <w:tcW w:w="3700" w:type="dxa"/>
          </w:tcPr>
          <w:p>
            <w:pPr>
              <w:spacing w:after="0" w:line="216" w:lineRule="auto"/>
            </w:pPr>
            <w:r>
              <w:rPr>
                <w:sz w:val="15"/>
              </w:rPr>
            </w:r>
            <w:r>
              <w:rPr>
                <w:b/>
                <w:sz w:val="14"/>
              </w:rPr>
              <w:t>Similarity and difference from Nietzsche</w:t>
            </w:r>
          </w:p>
        </w:tc>
      </w:tr>
      <w:tr>
        <w:tc>
          <w:tcPr>
            <w:tcW w:type="dxa" w:w="2375"/>
            <w:vAlign w:val="top"/>
            <w:tcW w:w="1700" w:type="dxa"/>
          </w:tcPr>
          <w:p>
            <w:pPr>
              <w:spacing w:after="0" w:line="216" w:lineRule="auto"/>
            </w:pPr>
            <w:r>
              <w:rPr>
                <w:sz w:val="15"/>
              </w:rPr>
            </w:r>
            <w:r>
              <w:rPr>
                <w:b w:val="0"/>
                <w:sz w:val="15"/>
              </w:rPr>
              <w:t>Epicurus</w:t>
            </w:r>
          </w:p>
        </w:tc>
        <w:tc>
          <w:tcPr>
            <w:tcW w:type="dxa" w:w="2375"/>
            <w:vAlign w:val="top"/>
            <w:tcW w:w="2400" w:type="dxa"/>
          </w:tcPr>
          <w:p>
            <w:pPr>
              <w:spacing w:after="0" w:line="216" w:lineRule="auto"/>
            </w:pPr>
            <w:r>
              <w:rPr>
                <w:sz w:val="15"/>
              </w:rPr>
            </w:r>
            <w:r>
              <w:rPr>
                <w:b w:val="0"/>
                <w:sz w:val="15"/>
              </w:rPr>
              <w:t>Ataraxia: tranquillity and freedom from disturbance.</w:t>
            </w:r>
          </w:p>
        </w:tc>
        <w:tc>
          <w:tcPr>
            <w:tcW w:type="dxa" w:w="2375"/>
            <w:vAlign w:val="top"/>
            <w:tcW w:w="2700" w:type="dxa"/>
          </w:tcPr>
          <w:p>
            <w:pPr>
              <w:spacing w:after="0" w:line="216" w:lineRule="auto"/>
            </w:pPr>
            <w:r>
              <w:rPr>
                <w:sz w:val="15"/>
              </w:rPr>
            </w:r>
            <w:r>
              <w:rPr>
                <w:b w:val="0"/>
                <w:sz w:val="15"/>
              </w:rPr>
              <w:t>Limit desire, cultivate friendship, remove irrational fears.</w:t>
            </w:r>
          </w:p>
        </w:tc>
        <w:tc>
          <w:tcPr>
            <w:tcW w:type="dxa" w:w="2375"/>
            <w:vAlign w:val="top"/>
            <w:tcW w:w="2700" w:type="dxa"/>
          </w:tcPr>
          <w:p>
            <w:pPr>
              <w:spacing w:after="0" w:line="216" w:lineRule="auto"/>
            </w:pPr>
            <w:r>
              <w:rPr>
                <w:sz w:val="15"/>
              </w:rPr>
            </w:r>
            <w:r>
              <w:rPr>
                <w:b w:val="0"/>
                <w:sz w:val="15"/>
              </w:rPr>
              <w:t>Happiness is stable pleasure understood as absence of bodily pain and mental disturbance.</w:t>
            </w:r>
          </w:p>
        </w:tc>
        <w:tc>
          <w:tcPr>
            <w:tcW w:type="dxa" w:w="2375"/>
            <w:vAlign w:val="top"/>
            <w:tcW w:w="2600" w:type="dxa"/>
          </w:tcPr>
          <w:p>
            <w:pPr>
              <w:spacing w:after="0" w:line="216" w:lineRule="auto"/>
            </w:pPr>
            <w:r>
              <w:rPr>
                <w:sz w:val="15"/>
              </w:rPr>
            </w:r>
            <w:r>
              <w:rPr>
                <w:b w:val="0"/>
                <w:sz w:val="15"/>
              </w:rPr>
              <w:t>Death is not to be feared because where death is, we are not.</w:t>
            </w:r>
          </w:p>
        </w:tc>
        <w:tc>
          <w:tcPr>
            <w:tcW w:type="dxa" w:w="2375"/>
            <w:vAlign w:val="top"/>
            <w:tcW w:w="3700" w:type="dxa"/>
          </w:tcPr>
          <w:p>
            <w:pPr>
              <w:spacing w:after="0" w:line="216" w:lineRule="auto"/>
            </w:pPr>
            <w:r>
              <w:rPr>
                <w:sz w:val="15"/>
              </w:rPr>
            </w:r>
            <w:r>
              <w:rPr>
                <w:b w:val="0"/>
                <w:sz w:val="15"/>
              </w:rPr>
              <w:t>Similar in conquering fear and false need; different because Epicurus seeks calm moderation, while Nietzsche seeks overflowing creative intensity.</w:t>
            </w:r>
          </w:p>
        </w:tc>
      </w:tr>
      <w:tr>
        <w:tc>
          <w:tcPr>
            <w:tcW w:type="dxa" w:w="2375"/>
            <w:vAlign w:val="top"/>
            <w:tcW w:w="1700" w:type="dxa"/>
          </w:tcPr>
          <w:p>
            <w:pPr>
              <w:spacing w:after="0" w:line="216" w:lineRule="auto"/>
            </w:pPr>
            <w:r>
              <w:rPr>
                <w:sz w:val="15"/>
              </w:rPr>
            </w:r>
            <w:r>
              <w:rPr>
                <w:b w:val="0"/>
                <w:sz w:val="15"/>
              </w:rPr>
              <w:t>Plato</w:t>
            </w:r>
          </w:p>
        </w:tc>
        <w:tc>
          <w:tcPr>
            <w:tcW w:type="dxa" w:w="2375"/>
            <w:vAlign w:val="top"/>
            <w:tcW w:w="2400" w:type="dxa"/>
          </w:tcPr>
          <w:p>
            <w:pPr>
              <w:spacing w:after="0" w:line="216" w:lineRule="auto"/>
            </w:pPr>
            <w:r>
              <w:rPr>
                <w:sz w:val="15"/>
              </w:rPr>
            </w:r>
            <w:r>
              <w:rPr>
                <w:b w:val="0"/>
                <w:sz w:val="15"/>
              </w:rPr>
              <w:t>Ascent of the soul toward truth, the Good, and rational order.</w:t>
            </w:r>
          </w:p>
        </w:tc>
        <w:tc>
          <w:tcPr>
            <w:tcW w:type="dxa" w:w="2375"/>
            <w:vAlign w:val="top"/>
            <w:tcW w:w="2700" w:type="dxa"/>
          </w:tcPr>
          <w:p>
            <w:pPr>
              <w:spacing w:after="0" w:line="216" w:lineRule="auto"/>
            </w:pPr>
            <w:r>
              <w:rPr>
                <w:sz w:val="15"/>
              </w:rPr>
            </w:r>
            <w:r>
              <w:rPr>
                <w:b w:val="0"/>
                <w:sz w:val="15"/>
              </w:rPr>
              <w:t>Philosophical education, dialectic, discipline of appetite by reason.</w:t>
            </w:r>
          </w:p>
        </w:tc>
        <w:tc>
          <w:tcPr>
            <w:tcW w:type="dxa" w:w="2375"/>
            <w:vAlign w:val="top"/>
            <w:tcW w:w="2700" w:type="dxa"/>
          </w:tcPr>
          <w:p>
            <w:pPr>
              <w:spacing w:after="0" w:line="216" w:lineRule="auto"/>
            </w:pPr>
            <w:r>
              <w:rPr>
                <w:sz w:val="15"/>
              </w:rPr>
            </w:r>
            <w:r>
              <w:rPr>
                <w:b w:val="0"/>
                <w:sz w:val="15"/>
              </w:rPr>
              <w:t>Happiness comes when the soul is harmoniously ordered and aligned with the Good.</w:t>
            </w:r>
          </w:p>
        </w:tc>
        <w:tc>
          <w:tcPr>
            <w:tcW w:type="dxa" w:w="2375"/>
            <w:vAlign w:val="top"/>
            <w:tcW w:w="2600" w:type="dxa"/>
          </w:tcPr>
          <w:p>
            <w:pPr>
              <w:spacing w:after="0" w:line="216" w:lineRule="auto"/>
            </w:pPr>
            <w:r>
              <w:rPr>
                <w:sz w:val="15"/>
              </w:rPr>
            </w:r>
            <w:r>
              <w:rPr>
                <w:b w:val="0"/>
                <w:sz w:val="15"/>
              </w:rPr>
              <w:t>Philosophy prepares the soul to detach from bodily illusion.</w:t>
            </w:r>
          </w:p>
        </w:tc>
        <w:tc>
          <w:tcPr>
            <w:tcW w:type="dxa" w:w="2375"/>
            <w:vAlign w:val="top"/>
            <w:tcW w:w="3700" w:type="dxa"/>
          </w:tcPr>
          <w:p>
            <w:pPr>
              <w:spacing w:after="0" w:line="216" w:lineRule="auto"/>
            </w:pPr>
            <w:r>
              <w:rPr>
                <w:sz w:val="15"/>
              </w:rPr>
            </w:r>
            <w:r>
              <w:rPr>
                <w:b w:val="0"/>
                <w:sz w:val="15"/>
              </w:rPr>
              <w:t>Similar in hierarchy of self; different because Plato turns upward to eternal truth, Nietzsche rejects other-worldly metaphysics.</w:t>
            </w:r>
          </w:p>
        </w:tc>
      </w:tr>
      <w:tr>
        <w:tc>
          <w:tcPr>
            <w:tcW w:type="dxa" w:w="2375"/>
            <w:vAlign w:val="top"/>
            <w:tcW w:w="1700" w:type="dxa"/>
          </w:tcPr>
          <w:p>
            <w:pPr>
              <w:spacing w:after="0" w:line="216" w:lineRule="auto"/>
            </w:pPr>
            <w:r>
              <w:rPr>
                <w:sz w:val="15"/>
              </w:rPr>
            </w:r>
            <w:r>
              <w:rPr>
                <w:b w:val="0"/>
                <w:sz w:val="15"/>
              </w:rPr>
              <w:t>Aristotle</w:t>
            </w:r>
          </w:p>
        </w:tc>
        <w:tc>
          <w:tcPr>
            <w:tcW w:type="dxa" w:w="2375"/>
            <w:vAlign w:val="top"/>
            <w:tcW w:w="2400" w:type="dxa"/>
          </w:tcPr>
          <w:p>
            <w:pPr>
              <w:spacing w:after="0" w:line="216" w:lineRule="auto"/>
            </w:pPr>
            <w:r>
              <w:rPr>
                <w:sz w:val="15"/>
              </w:rPr>
            </w:r>
            <w:r>
              <w:rPr>
                <w:b w:val="0"/>
                <w:sz w:val="15"/>
              </w:rPr>
              <w:t>Eudaimonia: flourishing through excellent activity of the soul.</w:t>
            </w:r>
          </w:p>
        </w:tc>
        <w:tc>
          <w:tcPr>
            <w:tcW w:type="dxa" w:w="2375"/>
            <w:vAlign w:val="top"/>
            <w:tcW w:w="2700" w:type="dxa"/>
          </w:tcPr>
          <w:p>
            <w:pPr>
              <w:spacing w:after="0" w:line="216" w:lineRule="auto"/>
            </w:pPr>
            <w:r>
              <w:rPr>
                <w:sz w:val="15"/>
              </w:rPr>
            </w:r>
            <w:r>
              <w:rPr>
                <w:b w:val="0"/>
                <w:sz w:val="15"/>
              </w:rPr>
              <w:t>Habituation, practical wisdom, virtue, friendship, civic life.</w:t>
            </w:r>
          </w:p>
        </w:tc>
        <w:tc>
          <w:tcPr>
            <w:tcW w:type="dxa" w:w="2375"/>
            <w:vAlign w:val="top"/>
            <w:tcW w:w="2700" w:type="dxa"/>
          </w:tcPr>
          <w:p>
            <w:pPr>
              <w:spacing w:after="0" w:line="216" w:lineRule="auto"/>
            </w:pPr>
            <w:r>
              <w:rPr>
                <w:sz w:val="15"/>
              </w:rPr>
            </w:r>
            <w:r>
              <w:rPr>
                <w:b w:val="0"/>
                <w:sz w:val="15"/>
              </w:rPr>
              <w:t>Happiness is not a mood but a complete life of virtuous activity.</w:t>
            </w:r>
          </w:p>
        </w:tc>
        <w:tc>
          <w:tcPr>
            <w:tcW w:type="dxa" w:w="2375"/>
            <w:vAlign w:val="top"/>
            <w:tcW w:w="2600" w:type="dxa"/>
          </w:tcPr>
          <w:p>
            <w:pPr>
              <w:spacing w:after="0" w:line="216" w:lineRule="auto"/>
            </w:pPr>
            <w:r>
              <w:rPr>
                <w:sz w:val="15"/>
              </w:rPr>
            </w:r>
            <w:r>
              <w:rPr>
                <w:b w:val="0"/>
                <w:sz w:val="15"/>
              </w:rPr>
              <w:t>A noble person faces death courageously, especially for worthy ends.</w:t>
            </w:r>
          </w:p>
        </w:tc>
        <w:tc>
          <w:tcPr>
            <w:tcW w:type="dxa" w:w="2375"/>
            <w:vAlign w:val="top"/>
            <w:tcW w:w="3700" w:type="dxa"/>
          </w:tcPr>
          <w:p>
            <w:pPr>
              <w:spacing w:after="0" w:line="216" w:lineRule="auto"/>
            </w:pPr>
            <w:r>
              <w:rPr>
                <w:sz w:val="15"/>
              </w:rPr>
            </w:r>
            <w:r>
              <w:rPr>
                <w:b w:val="0"/>
                <w:sz w:val="15"/>
              </w:rPr>
              <w:t>Similar in excellence, virtue, and self-formation; different because Aristotle is more balanced, civic, and teleological.</w:t>
            </w:r>
          </w:p>
        </w:tc>
      </w:tr>
      <w:tr>
        <w:tc>
          <w:tcPr>
            <w:tcW w:type="dxa" w:w="2375"/>
            <w:vAlign w:val="top"/>
            <w:tcW w:w="1700" w:type="dxa"/>
          </w:tcPr>
          <w:p>
            <w:pPr>
              <w:spacing w:after="0" w:line="216" w:lineRule="auto"/>
            </w:pPr>
            <w:r>
              <w:rPr>
                <w:sz w:val="15"/>
              </w:rPr>
            </w:r>
            <w:r>
              <w:rPr>
                <w:b w:val="0"/>
                <w:sz w:val="15"/>
              </w:rPr>
              <w:t>Kant</w:t>
            </w:r>
          </w:p>
        </w:tc>
        <w:tc>
          <w:tcPr>
            <w:tcW w:type="dxa" w:w="2375"/>
            <w:vAlign w:val="top"/>
            <w:tcW w:w="2400" w:type="dxa"/>
          </w:tcPr>
          <w:p>
            <w:pPr>
              <w:spacing w:after="0" w:line="216" w:lineRule="auto"/>
            </w:pPr>
            <w:r>
              <w:rPr>
                <w:sz w:val="15"/>
              </w:rPr>
            </w:r>
            <w:r>
              <w:rPr>
                <w:b w:val="0"/>
                <w:sz w:val="15"/>
              </w:rPr>
              <w:t>Autonomy: rational self-legislation under the moral law.</w:t>
            </w:r>
          </w:p>
        </w:tc>
        <w:tc>
          <w:tcPr>
            <w:tcW w:type="dxa" w:w="2375"/>
            <w:vAlign w:val="top"/>
            <w:tcW w:w="2700" w:type="dxa"/>
          </w:tcPr>
          <w:p>
            <w:pPr>
              <w:spacing w:after="0" w:line="216" w:lineRule="auto"/>
            </w:pPr>
            <w:r>
              <w:rPr>
                <w:sz w:val="15"/>
              </w:rPr>
            </w:r>
            <w:r>
              <w:rPr>
                <w:b w:val="0"/>
                <w:sz w:val="15"/>
              </w:rPr>
              <w:t>Act according to duty and universalizable maxims, not inclination alone.</w:t>
            </w:r>
          </w:p>
        </w:tc>
        <w:tc>
          <w:tcPr>
            <w:tcW w:type="dxa" w:w="2375"/>
            <w:vAlign w:val="top"/>
            <w:tcW w:w="2700" w:type="dxa"/>
          </w:tcPr>
          <w:p>
            <w:pPr>
              <w:spacing w:after="0" w:line="216" w:lineRule="auto"/>
            </w:pPr>
            <w:r>
              <w:rPr>
                <w:sz w:val="15"/>
              </w:rPr>
            </w:r>
            <w:r>
              <w:rPr>
                <w:b w:val="0"/>
                <w:sz w:val="15"/>
              </w:rPr>
              <w:t>Happiness is secondary to worthiness to be happy; dignity comes from moral freedom.</w:t>
            </w:r>
          </w:p>
        </w:tc>
        <w:tc>
          <w:tcPr>
            <w:tcW w:type="dxa" w:w="2375"/>
            <w:vAlign w:val="top"/>
            <w:tcW w:w="2600" w:type="dxa"/>
          </w:tcPr>
          <w:p>
            <w:pPr>
              <w:spacing w:after="0" w:line="216" w:lineRule="auto"/>
            </w:pPr>
            <w:r>
              <w:rPr>
                <w:sz w:val="15"/>
              </w:rPr>
            </w:r>
            <w:r>
              <w:rPr>
                <w:b w:val="0"/>
                <w:sz w:val="15"/>
              </w:rPr>
              <w:t>Finitude matters because moral action occurs under limits and duty.</w:t>
            </w:r>
          </w:p>
        </w:tc>
        <w:tc>
          <w:tcPr>
            <w:tcW w:type="dxa" w:w="2375"/>
            <w:vAlign w:val="top"/>
            <w:tcW w:w="3700" w:type="dxa"/>
          </w:tcPr>
          <w:p>
            <w:pPr>
              <w:spacing w:after="0" w:line="216" w:lineRule="auto"/>
            </w:pPr>
            <w:r>
              <w:rPr>
                <w:sz w:val="15"/>
              </w:rPr>
            </w:r>
            <w:r>
              <w:rPr>
                <w:b w:val="0"/>
                <w:sz w:val="15"/>
              </w:rPr>
              <w:t>Similar in self-legislation; different because Kant universalizes morality, while Nietzsche criticizes universal herd morality.</w:t>
            </w:r>
          </w:p>
        </w:tc>
      </w:tr>
      <w:tr>
        <w:tc>
          <w:tcPr>
            <w:tcW w:type="dxa" w:w="2375"/>
            <w:vAlign w:val="top"/>
            <w:tcW w:w="1700" w:type="dxa"/>
          </w:tcPr>
          <w:p>
            <w:pPr>
              <w:spacing w:after="0" w:line="216" w:lineRule="auto"/>
            </w:pPr>
            <w:r>
              <w:rPr>
                <w:sz w:val="15"/>
              </w:rPr>
            </w:r>
            <w:r>
              <w:rPr>
                <w:b w:val="0"/>
                <w:sz w:val="15"/>
              </w:rPr>
              <w:t>Hegel</w:t>
            </w:r>
          </w:p>
        </w:tc>
        <w:tc>
          <w:tcPr>
            <w:tcW w:type="dxa" w:w="2375"/>
            <w:vAlign w:val="top"/>
            <w:tcW w:w="2400" w:type="dxa"/>
          </w:tcPr>
          <w:p>
            <w:pPr>
              <w:spacing w:after="0" w:line="216" w:lineRule="auto"/>
            </w:pPr>
            <w:r>
              <w:rPr>
                <w:sz w:val="15"/>
              </w:rPr>
            </w:r>
            <w:r>
              <w:rPr>
                <w:b w:val="0"/>
                <w:sz w:val="15"/>
              </w:rPr>
              <w:t>Freedom through recognition, ethical life, and historical self-consciousness.</w:t>
            </w:r>
          </w:p>
        </w:tc>
        <w:tc>
          <w:tcPr>
            <w:tcW w:type="dxa" w:w="2375"/>
            <w:vAlign w:val="top"/>
            <w:tcW w:w="2700" w:type="dxa"/>
          </w:tcPr>
          <w:p>
            <w:pPr>
              <w:spacing w:after="0" w:line="216" w:lineRule="auto"/>
            </w:pPr>
            <w:r>
              <w:rPr>
                <w:sz w:val="15"/>
              </w:rPr>
            </w:r>
            <w:r>
              <w:rPr>
                <w:b w:val="0"/>
                <w:sz w:val="15"/>
              </w:rPr>
              <w:t>Development through conflict, negation, recognition, and institutions.</w:t>
            </w:r>
          </w:p>
        </w:tc>
        <w:tc>
          <w:tcPr>
            <w:tcW w:type="dxa" w:w="2375"/>
            <w:vAlign w:val="top"/>
            <w:tcW w:w="2700" w:type="dxa"/>
          </w:tcPr>
          <w:p>
            <w:pPr>
              <w:spacing w:after="0" w:line="216" w:lineRule="auto"/>
            </w:pPr>
            <w:r>
              <w:rPr>
                <w:sz w:val="15"/>
              </w:rPr>
            </w:r>
            <w:r>
              <w:rPr>
                <w:b w:val="0"/>
                <w:sz w:val="15"/>
              </w:rPr>
              <w:t>Fulfilment is mediated by social and historical reconciliation.</w:t>
            </w:r>
          </w:p>
        </w:tc>
        <w:tc>
          <w:tcPr>
            <w:tcW w:type="dxa" w:w="2375"/>
            <w:vAlign w:val="top"/>
            <w:tcW w:w="2600" w:type="dxa"/>
          </w:tcPr>
          <w:p>
            <w:pPr>
              <w:spacing w:after="0" w:line="216" w:lineRule="auto"/>
            </w:pPr>
            <w:r>
              <w:rPr>
                <w:sz w:val="15"/>
              </w:rPr>
            </w:r>
            <w:r>
              <w:rPr>
                <w:b w:val="0"/>
                <w:sz w:val="15"/>
              </w:rPr>
              <w:t>Finitude is overcome not individually but through Spirit, history, and ethical institutions.</w:t>
            </w:r>
          </w:p>
        </w:tc>
        <w:tc>
          <w:tcPr>
            <w:tcW w:type="dxa" w:w="2375"/>
            <w:vAlign w:val="top"/>
            <w:tcW w:w="3700" w:type="dxa"/>
          </w:tcPr>
          <w:p>
            <w:pPr>
              <w:spacing w:after="0" w:line="216" w:lineRule="auto"/>
            </w:pPr>
            <w:r>
              <w:rPr>
                <w:sz w:val="15"/>
              </w:rPr>
            </w:r>
            <w:r>
              <w:rPr>
                <w:b w:val="0"/>
                <w:sz w:val="15"/>
              </w:rPr>
              <w:t>Similar in self-overcoming through conflict; different because Hegel sees rational reconciliation, while Nietzsche stresses individual value-creation.</w:t>
            </w:r>
          </w:p>
        </w:tc>
      </w:tr>
      <w:tr>
        <w:tc>
          <w:tcPr>
            <w:tcW w:type="dxa" w:w="2375"/>
            <w:vAlign w:val="top"/>
            <w:tcW w:w="1700" w:type="dxa"/>
          </w:tcPr>
          <w:p>
            <w:pPr>
              <w:spacing w:after="0" w:line="216" w:lineRule="auto"/>
            </w:pPr>
            <w:r>
              <w:rPr>
                <w:sz w:val="15"/>
              </w:rPr>
            </w:r>
            <w:r>
              <w:rPr>
                <w:b w:val="0"/>
                <w:sz w:val="15"/>
              </w:rPr>
              <w:t>Marx</w:t>
            </w:r>
          </w:p>
        </w:tc>
        <w:tc>
          <w:tcPr>
            <w:tcW w:type="dxa" w:w="2375"/>
            <w:vAlign w:val="top"/>
            <w:tcW w:w="2400" w:type="dxa"/>
          </w:tcPr>
          <w:p>
            <w:pPr>
              <w:spacing w:after="0" w:line="216" w:lineRule="auto"/>
            </w:pPr>
            <w:r>
              <w:rPr>
                <w:sz w:val="15"/>
              </w:rPr>
            </w:r>
            <w:r>
              <w:rPr>
                <w:b w:val="0"/>
                <w:sz w:val="15"/>
              </w:rPr>
              <w:t>Human emancipation beyond alienation and exploitative social relations.</w:t>
            </w:r>
          </w:p>
        </w:tc>
        <w:tc>
          <w:tcPr>
            <w:tcW w:type="dxa" w:w="2375"/>
            <w:vAlign w:val="top"/>
            <w:tcW w:w="2700" w:type="dxa"/>
          </w:tcPr>
          <w:p>
            <w:pPr>
              <w:spacing w:after="0" w:line="216" w:lineRule="auto"/>
            </w:pPr>
            <w:r>
              <w:rPr>
                <w:sz w:val="15"/>
              </w:rPr>
            </w:r>
            <w:r>
              <w:rPr>
                <w:b w:val="0"/>
                <w:sz w:val="15"/>
              </w:rPr>
              <w:t>Transform material conditions, labour relations, and class structures.</w:t>
            </w:r>
          </w:p>
        </w:tc>
        <w:tc>
          <w:tcPr>
            <w:tcW w:type="dxa" w:w="2375"/>
            <w:vAlign w:val="top"/>
            <w:tcW w:w="2700" w:type="dxa"/>
          </w:tcPr>
          <w:p>
            <w:pPr>
              <w:spacing w:after="0" w:line="216" w:lineRule="auto"/>
            </w:pPr>
            <w:r>
              <w:rPr>
                <w:sz w:val="15"/>
              </w:rPr>
            </w:r>
            <w:r>
              <w:rPr>
                <w:b w:val="0"/>
                <w:sz w:val="15"/>
              </w:rPr>
              <w:t>Human flourishing requires non-alienated creative activity and social freedom.</w:t>
            </w:r>
          </w:p>
        </w:tc>
        <w:tc>
          <w:tcPr>
            <w:tcW w:type="dxa" w:w="2375"/>
            <w:vAlign w:val="top"/>
            <w:tcW w:w="2600" w:type="dxa"/>
          </w:tcPr>
          <w:p>
            <w:pPr>
              <w:spacing w:after="0" w:line="216" w:lineRule="auto"/>
            </w:pPr>
            <w:r>
              <w:rPr>
                <w:sz w:val="15"/>
              </w:rPr>
            </w:r>
            <w:r>
              <w:rPr>
                <w:b w:val="0"/>
                <w:sz w:val="15"/>
              </w:rPr>
              <w:t>Mortality is not central; material life and historical praxis are central.</w:t>
            </w:r>
          </w:p>
        </w:tc>
        <w:tc>
          <w:tcPr>
            <w:tcW w:type="dxa" w:w="2375"/>
            <w:vAlign w:val="top"/>
            <w:tcW w:w="3700" w:type="dxa"/>
          </w:tcPr>
          <w:p>
            <w:pPr>
              <w:spacing w:after="0" w:line="216" w:lineRule="auto"/>
            </w:pPr>
            <w:r>
              <w:rPr>
                <w:sz w:val="15"/>
              </w:rPr>
            </w:r>
            <w:r>
              <w:rPr>
                <w:b w:val="0"/>
                <w:sz w:val="15"/>
              </w:rPr>
              <w:t>Similar in critique of false consciousness; different because Marx is socio-economic and collective, Nietzsche is existential-aristocratic and anti-egalitarian.</w:t>
            </w:r>
          </w:p>
        </w:tc>
      </w:tr>
      <w:tr>
        <w:tc>
          <w:tcPr>
            <w:tcW w:type="dxa" w:w="2375"/>
            <w:vAlign w:val="top"/>
            <w:tcW w:w="1700" w:type="dxa"/>
          </w:tcPr>
          <w:p>
            <w:pPr>
              <w:spacing w:after="0" w:line="216" w:lineRule="auto"/>
            </w:pPr>
            <w:r>
              <w:rPr>
                <w:sz w:val="15"/>
              </w:rPr>
            </w:r>
            <w:r>
              <w:rPr>
                <w:b w:val="0"/>
                <w:sz w:val="15"/>
              </w:rPr>
              <w:t>Weber</w:t>
            </w:r>
          </w:p>
        </w:tc>
        <w:tc>
          <w:tcPr>
            <w:tcW w:type="dxa" w:w="2375"/>
            <w:vAlign w:val="top"/>
            <w:tcW w:w="2400" w:type="dxa"/>
          </w:tcPr>
          <w:p>
            <w:pPr>
              <w:spacing w:after="0" w:line="216" w:lineRule="auto"/>
            </w:pPr>
            <w:r>
              <w:rPr>
                <w:sz w:val="15"/>
              </w:rPr>
            </w:r>
            <w:r>
              <w:rPr>
                <w:b w:val="0"/>
                <w:sz w:val="15"/>
              </w:rPr>
              <w:t>Responsible vocation under disenchantment.</w:t>
            </w:r>
          </w:p>
        </w:tc>
        <w:tc>
          <w:tcPr>
            <w:tcW w:type="dxa" w:w="2375"/>
            <w:vAlign w:val="top"/>
            <w:tcW w:w="2700" w:type="dxa"/>
          </w:tcPr>
          <w:p>
            <w:pPr>
              <w:spacing w:after="0" w:line="216" w:lineRule="auto"/>
            </w:pPr>
            <w:r>
              <w:rPr>
                <w:sz w:val="15"/>
              </w:rPr>
            </w:r>
            <w:r>
              <w:rPr>
                <w:b w:val="0"/>
                <w:sz w:val="15"/>
              </w:rPr>
              <w:t>Ethic of responsibility, disciplined calling, clarity before value-conflict.</w:t>
            </w:r>
          </w:p>
        </w:tc>
        <w:tc>
          <w:tcPr>
            <w:tcW w:type="dxa" w:w="2375"/>
            <w:vAlign w:val="top"/>
            <w:tcW w:w="2700" w:type="dxa"/>
          </w:tcPr>
          <w:p>
            <w:pPr>
              <w:spacing w:after="0" w:line="216" w:lineRule="auto"/>
            </w:pPr>
            <w:r>
              <w:rPr>
                <w:sz w:val="15"/>
              </w:rPr>
            </w:r>
            <w:r>
              <w:rPr>
                <w:b w:val="0"/>
                <w:sz w:val="15"/>
              </w:rPr>
              <w:t>No promise of final happiness; mature life requires sober responsibility.</w:t>
            </w:r>
          </w:p>
        </w:tc>
        <w:tc>
          <w:tcPr>
            <w:tcW w:type="dxa" w:w="2375"/>
            <w:vAlign w:val="top"/>
            <w:tcW w:w="2600" w:type="dxa"/>
          </w:tcPr>
          <w:p>
            <w:pPr>
              <w:spacing w:after="0" w:line="216" w:lineRule="auto"/>
            </w:pPr>
            <w:r>
              <w:rPr>
                <w:sz w:val="15"/>
              </w:rPr>
            </w:r>
            <w:r>
              <w:rPr>
                <w:b w:val="0"/>
                <w:sz w:val="15"/>
              </w:rPr>
              <w:t>Modern finitude appears as disenchantment and value pluralism.</w:t>
            </w:r>
          </w:p>
        </w:tc>
        <w:tc>
          <w:tcPr>
            <w:tcW w:type="dxa" w:w="2375"/>
            <w:vAlign w:val="top"/>
            <w:tcW w:w="3700" w:type="dxa"/>
          </w:tcPr>
          <w:p>
            <w:pPr>
              <w:spacing w:after="0" w:line="216" w:lineRule="auto"/>
            </w:pPr>
            <w:r>
              <w:rPr>
                <w:sz w:val="15"/>
              </w:rPr>
            </w:r>
            <w:r>
              <w:rPr>
                <w:b w:val="0"/>
                <w:sz w:val="15"/>
              </w:rPr>
              <w:t>Similar in facing a world without metaphysical comfort; different because Weber asks for disciplined responsibility, not the creation of a higher human type.</w:t>
            </w:r>
          </w:p>
        </w:tc>
      </w:tr>
      <w:tr>
        <w:tc>
          <w:tcPr>
            <w:tcW w:type="dxa" w:w="2375"/>
            <w:vAlign w:val="top"/>
            <w:tcW w:w="1700" w:type="dxa"/>
          </w:tcPr>
          <w:p>
            <w:pPr>
              <w:spacing w:after="0" w:line="216" w:lineRule="auto"/>
            </w:pPr>
            <w:r>
              <w:rPr>
                <w:sz w:val="15"/>
              </w:rPr>
            </w:r>
            <w:r>
              <w:rPr>
                <w:b w:val="0"/>
                <w:sz w:val="15"/>
              </w:rPr>
              <w:t>Freud</w:t>
            </w:r>
          </w:p>
        </w:tc>
        <w:tc>
          <w:tcPr>
            <w:tcW w:type="dxa" w:w="2375"/>
            <w:vAlign w:val="top"/>
            <w:tcW w:w="2400" w:type="dxa"/>
          </w:tcPr>
          <w:p>
            <w:pPr>
              <w:spacing w:after="0" w:line="216" w:lineRule="auto"/>
            </w:pPr>
            <w:r>
              <w:rPr>
                <w:sz w:val="15"/>
              </w:rPr>
            </w:r>
            <w:r>
              <w:rPr>
                <w:b w:val="0"/>
                <w:sz w:val="15"/>
              </w:rPr>
              <w:t>Maturity through integration of instinct, reality, and sublimation.</w:t>
            </w:r>
          </w:p>
        </w:tc>
        <w:tc>
          <w:tcPr>
            <w:tcW w:type="dxa" w:w="2375"/>
            <w:vAlign w:val="top"/>
            <w:tcW w:w="2700" w:type="dxa"/>
          </w:tcPr>
          <w:p>
            <w:pPr>
              <w:spacing w:after="0" w:line="216" w:lineRule="auto"/>
            </w:pPr>
            <w:r>
              <w:rPr>
                <w:sz w:val="15"/>
              </w:rPr>
            </w:r>
            <w:r>
              <w:rPr>
                <w:b w:val="0"/>
                <w:sz w:val="15"/>
              </w:rPr>
              <w:t>Bring unconscious conflict into awareness; redirect drives into work, love, and culture.</w:t>
            </w:r>
          </w:p>
        </w:tc>
        <w:tc>
          <w:tcPr>
            <w:tcW w:type="dxa" w:w="2375"/>
            <w:vAlign w:val="top"/>
            <w:tcW w:w="2700" w:type="dxa"/>
          </w:tcPr>
          <w:p>
            <w:pPr>
              <w:spacing w:after="0" w:line="216" w:lineRule="auto"/>
            </w:pPr>
            <w:r>
              <w:rPr>
                <w:sz w:val="15"/>
              </w:rPr>
            </w:r>
            <w:r>
              <w:rPr>
                <w:b w:val="0"/>
                <w:sz w:val="15"/>
              </w:rPr>
              <w:t>Happiness is limited, fragile, and negotiated between desire and reality.</w:t>
            </w:r>
          </w:p>
        </w:tc>
        <w:tc>
          <w:tcPr>
            <w:tcW w:type="dxa" w:w="2375"/>
            <w:vAlign w:val="top"/>
            <w:tcW w:w="2600" w:type="dxa"/>
          </w:tcPr>
          <w:p>
            <w:pPr>
              <w:spacing w:after="0" w:line="216" w:lineRule="auto"/>
            </w:pPr>
            <w:r>
              <w:rPr>
                <w:sz w:val="15"/>
              </w:rPr>
            </w:r>
            <w:r>
              <w:rPr>
                <w:b w:val="0"/>
                <w:sz w:val="15"/>
              </w:rPr>
              <w:t>Death drive and mortality limit human optimism.</w:t>
            </w:r>
          </w:p>
        </w:tc>
        <w:tc>
          <w:tcPr>
            <w:tcW w:type="dxa" w:w="2375"/>
            <w:vAlign w:val="top"/>
            <w:tcW w:w="3700" w:type="dxa"/>
          </w:tcPr>
          <w:p>
            <w:pPr>
              <w:spacing w:after="0" w:line="216" w:lineRule="auto"/>
            </w:pPr>
            <w:r>
              <w:rPr>
                <w:sz w:val="15"/>
              </w:rPr>
            </w:r>
            <w:r>
              <w:rPr>
                <w:b w:val="0"/>
                <w:sz w:val="15"/>
              </w:rPr>
              <w:t>Similar in transforming instinct rather than denying it; different because Freud is therapeutic and tragic, not heroic or value-creative in Nietzsche's sense.</w:t>
            </w:r>
          </w:p>
        </w:tc>
      </w:tr>
    </w:tbl>
    <w:p>
      <w:pPr>
        <w:sectPr>
          <w:footerReference w:type="default" r:id="rId10"/>
          <w:pgSz w:w="15840" w:h="12240" w:orient="landscape"/>
          <w:pgMar w:top="850" w:right="794" w:bottom="850" w:left="794" w:header="720" w:footer="720" w:gutter="0"/>
          <w:cols w:space="720"/>
          <w:docGrid w:linePitch="360"/>
        </w:sectPr>
      </w:pPr>
    </w:p>
    <w:p>
      <w:pPr>
        <w:pStyle w:val="Heading1"/>
      </w:pPr>
      <w:r>
        <w:t>5. Synthesis: from dependence to self-overcoming</w:t>
      </w:r>
    </w:p>
    <w:p>
      <w:r>
        <w:t>Across these traditions, the human being develops by passing through several stages. The language differs, but the pattern is recognisable.</w:t>
      </w:r>
    </w:p>
    <w:p>
      <w:pPr>
        <w:pStyle w:val="ListNumber"/>
      </w:pPr>
      <w:r>
        <w:rPr>
          <w:b/>
        </w:rPr>
        <w:t xml:space="preserve">Dependence on external goods: </w:t>
      </w:r>
      <w:r>
        <w:t>The person believes happiness requires possession, approval, erotic confirmation, status, or safety.</w:t>
      </w:r>
    </w:p>
    <w:p>
      <w:pPr>
        <w:pStyle w:val="ListNumber"/>
      </w:pPr>
      <w:r>
        <w:rPr>
          <w:b/>
        </w:rPr>
        <w:t xml:space="preserve">Discipline of desire: </w:t>
      </w:r>
      <w:r>
        <w:t>The person learns that uncontrolled appetite produces slavery rather than freedom.</w:t>
      </w:r>
    </w:p>
    <w:p>
      <w:pPr>
        <w:pStyle w:val="ListNumber"/>
      </w:pPr>
      <w:r>
        <w:rPr>
          <w:b/>
        </w:rPr>
        <w:t xml:space="preserve">Self-knowledge: </w:t>
      </w:r>
      <w:r>
        <w:t>The person examines motives, fears, inherited beliefs, and unconscious drives.</w:t>
      </w:r>
    </w:p>
    <w:p>
      <w:pPr>
        <w:pStyle w:val="ListNumber"/>
      </w:pPr>
      <w:r>
        <w:rPr>
          <w:b/>
        </w:rPr>
        <w:t xml:space="preserve">Integration of the self: </w:t>
      </w:r>
      <w:r>
        <w:t>Reason, passion, instinct, memory, and will are no longer in civil war; they are ranked and organised.</w:t>
      </w:r>
    </w:p>
    <w:p>
      <w:pPr>
        <w:pStyle w:val="ListNumber"/>
      </w:pPr>
      <w:r>
        <w:rPr>
          <w:b/>
        </w:rPr>
        <w:t xml:space="preserve">Creative action: </w:t>
      </w:r>
      <w:r>
        <w:t>The person does not merely react to the world but shapes it through work, art, vocation, leadership, love, or ethical responsibility.</w:t>
      </w:r>
    </w:p>
    <w:p>
      <w:pPr>
        <w:pStyle w:val="ListNumber"/>
      </w:pPr>
      <w:r>
        <w:rPr>
          <w:b/>
        </w:rPr>
        <w:t xml:space="preserve">Acceptance of finitude: </w:t>
      </w:r>
      <w:r>
        <w:t>The person accepts uncertainty, suffering, ageing, and death without letting them destroy the meaning of life.</w:t>
      </w:r>
    </w:p>
    <w:p>
      <w:pPr>
        <w:pStyle w:val="ListNumber"/>
      </w:pPr>
      <w:r>
        <w:rPr>
          <w:b/>
        </w:rPr>
        <w:t xml:space="preserve">Affirmation: </w:t>
      </w:r>
      <w:r>
        <w:t>The highest stage is not numbness but the capacity to say yes to life as a whole.</w:t>
      </w:r>
    </w:p>
    <w:p>
      <w:r>
        <w:t>Nietzsche radicalises this pattern. For Epicurus, the aim is tranquillity. For Plato, it is truth. For Aristotle, flourishing. For Kant, autonomy. For Hegel, recognition and historical freedom. For Marx, emancipation from alienation. For Weber, responsible vocation. For Freud, psychic integration and sublimation. For Nietzsche, the aim is self-overcoming and value-creation after nihilism. The Ubermensch is the human being who no longer waits for the world to justify existence. He becomes the one who justifies existence by how he lives.</w:t>
      </w:r>
    </w:p>
    <w:p>
      <w:pPr>
        <w:pStyle w:val="Heading1"/>
      </w:pPr>
      <w:r>
        <w:t>6. Conclusion</w:t>
      </w:r>
    </w:p>
    <w:p>
      <w:r>
        <w:t>The Ubermensch is one of the most powerful and dangerous concepts in modern philosophy because it can easily be misunderstood. It does not mean crude domination, narcissistic superiority, or indifference to others. It means a higher form of human maturity in which the person has overcome resentment, passive dependence, fear of suffering, and nihilistic despair. The Ubermensch creates values, gives form to life, affirms fate, and faces death without metaphysical panic.</w:t>
      </w:r>
    </w:p>
    <w:p>
      <w:r>
        <w:t>Other philosophers describe comparable movements toward human completeness. Epicurus teaches freedom from fear; Plato teaches ascent and harmony of the soul; Aristotle teaches virtuous flourishing; Kant teaches autonomy; Hegel teaches freedom through historical recognition; Marx teaches emancipation from alienation; Weber teaches disciplined responsibility in a disenchanted world; Freud teaches integration of unconscious forces. Nietzsche's distinct contribution is to insist that modern humanity must not merely find happiness but overcome itself: it must create meaning strongly enough to affirm life even when no external authority guarantees that meaning.</w:t>
      </w:r>
    </w:p>
    <w:p>
      <w:r>
        <w:br w:type="page"/>
      </w:r>
    </w:p>
    <w:p>
      <w:pPr>
        <w:pStyle w:val="Heading1"/>
      </w:pPr>
      <w:r>
        <w:t>References</w:t>
      </w:r>
    </w:p>
    <w:p>
      <w:pPr>
        <w:spacing w:after="80"/>
        <w:ind w:left="340" w:hanging="340"/>
      </w:pPr>
      <w:r>
        <w:t>Aristotle. Nicomachean Ethics. Translated by Terence Irwin. Indianapolis: Hackett, 1999.</w:t>
      </w:r>
    </w:p>
    <w:p>
      <w:pPr>
        <w:spacing w:after="80"/>
        <w:ind w:left="340" w:hanging="340"/>
      </w:pPr>
      <w:r>
        <w:t>Epicurus. Letter to Menoeceus. In The Epicurus Reader: Selected Writings and Testimonia, translated by Brad Inwood and L. P. Gerson. Indianapolis: Hackett, 1994.</w:t>
      </w:r>
    </w:p>
    <w:p>
      <w:pPr>
        <w:spacing w:after="80"/>
        <w:ind w:left="340" w:hanging="340"/>
      </w:pPr>
      <w:r>
        <w:t>Freud, Sigmund. Civilization and Its Discontents. Translated and edited by James Strachey. New York: W. W. Norton, 1961.</w:t>
      </w:r>
    </w:p>
    <w:p>
      <w:pPr>
        <w:spacing w:after="80"/>
        <w:ind w:left="340" w:hanging="340"/>
      </w:pPr>
      <w:r>
        <w:t>Freud, Sigmund. The Ego and the Id. Translated and edited by James Strachey. New York: W. W. Norton, 1960.</w:t>
      </w:r>
    </w:p>
    <w:p>
      <w:pPr>
        <w:spacing w:after="80"/>
        <w:ind w:left="340" w:hanging="340"/>
      </w:pPr>
      <w:r>
        <w:t>Hegel, G. W. F. Phenomenology of Spirit. Translated by A. V. Miller. Oxford: Oxford University Press, 1977.</w:t>
      </w:r>
    </w:p>
    <w:p>
      <w:pPr>
        <w:spacing w:after="80"/>
        <w:ind w:left="340" w:hanging="340"/>
      </w:pPr>
      <w:r>
        <w:t>Kant, Immanuel. Groundwork of the Metaphysics of Morals. Translated and edited by Mary Gregor and Jens Timmermann. Cambridge: Cambridge University Press, 2012.</w:t>
      </w:r>
    </w:p>
    <w:p>
      <w:pPr>
        <w:spacing w:after="80"/>
        <w:ind w:left="340" w:hanging="340"/>
      </w:pPr>
      <w:r>
        <w:t>Marx, Karl. Economic and Philosophic Manuscripts of 1844. In Early Writings, translated by Rodney Livingstone and Gregor Benton. London: Penguin, 1992.</w:t>
      </w:r>
    </w:p>
    <w:p>
      <w:pPr>
        <w:spacing w:after="80"/>
        <w:ind w:left="340" w:hanging="340"/>
      </w:pPr>
      <w:r>
        <w:t>Marx, Karl, and Friedrich Engels. The German Ideology. Edited by C. J. Arthur. London: Lawrence &amp; Wishart, 1970.</w:t>
      </w:r>
    </w:p>
    <w:p>
      <w:pPr>
        <w:spacing w:after="80"/>
        <w:ind w:left="340" w:hanging="340"/>
      </w:pPr>
      <w:r>
        <w:t>Nietzsche, Friedrich. Thus Spoke Zarathustra. Translated by Graham Parkes. Oxford: Oxford University Press, 2005.</w:t>
      </w:r>
    </w:p>
    <w:p>
      <w:pPr>
        <w:spacing w:after="80"/>
        <w:ind w:left="340" w:hanging="340"/>
      </w:pPr>
      <w:r>
        <w:t>Nietzsche, Friedrich. The Gay Science. Translated by Walter Kaufmann. New York: Vintage, 1974.</w:t>
      </w:r>
    </w:p>
    <w:p>
      <w:pPr>
        <w:spacing w:after="80"/>
        <w:ind w:left="340" w:hanging="340"/>
      </w:pPr>
      <w:r>
        <w:t>Nietzsche, Friedrich. Beyond Good and Evil. Translated by Walter Kaufmann. New York: Vintage, 1966.</w:t>
      </w:r>
    </w:p>
    <w:p>
      <w:pPr>
        <w:spacing w:after="80"/>
        <w:ind w:left="340" w:hanging="340"/>
      </w:pPr>
      <w:r>
        <w:t>Nietzsche, Friedrich. On the Genealogy of Morality. Translated by Maudemarie Clark and Alan J. Swensen. Indianapolis: Hackett, 1998.</w:t>
      </w:r>
    </w:p>
    <w:p>
      <w:pPr>
        <w:spacing w:after="80"/>
        <w:ind w:left="340" w:hanging="340"/>
      </w:pPr>
      <w:r>
        <w:t>Plato. Republic. Translated by G. M. A. Grube, revised by C. D. C. Reeve. Indianapolis: Hackett, 1992.</w:t>
      </w:r>
    </w:p>
    <w:p>
      <w:pPr>
        <w:spacing w:after="80"/>
        <w:ind w:left="340" w:hanging="340"/>
      </w:pPr>
      <w:r>
        <w:t>Weber, Max. The Protestant Ethic and the Spirit of Capitalism. Translated by Talcott Parsons. London: Routledge, 2001.</w:t>
      </w:r>
    </w:p>
    <w:p>
      <w:pPr>
        <w:spacing w:after="80"/>
        <w:ind w:left="340" w:hanging="340"/>
      </w:pPr>
      <w:r>
        <w:t>Weber, Max. “Science as a Vocation” and “Politics as a Vocation.” In From Max Weber: Essays in Sociology, translated and edited by H. H. Gerth and C. Wright Mills. New York: Oxford University Press, 1946.</w:t>
      </w:r>
    </w:p>
    <w:p>
      <w:r>
        <w:br/>
      </w:r>
    </w:p>
    <w:p>
      <w:r>
        <w:rPr>
          <w:b/>
        </w:rPr>
        <w:t xml:space="preserve">Note on terminology: </w:t>
      </w:r>
      <w:r>
        <w:t>'Ubermensch' is used here without the German umlaut for typographical simplicity. The German form is 'Übermensch'.</w:t>
      </w:r>
    </w:p>
    <w:sectPr w:rsidR="00FC693F" w:rsidRPr="0006063C" w:rsidSect="00034616">
      <w:footerReference w:type="default" r:id="rId11"/>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3763"/>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0404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F376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hilosophicalQuote">
    <w:name w:val="Philosophical Quote"/>
    <w:pPr>
      <w:spacing w:before="80" w:after="160"/>
      <w:ind w:left="397" w:right="227"/>
    </w:pPr>
    <w:rPr>
      <w:i/>
      <w:color w:val="50505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Nietzsche's Ubermensch and Human Flourishing</dc:title>
  <dc:subject>Philosophy article</dc:subject>
  <dc:creator>OpenAI</dc:creator>
  <cp:keywords>Nietzsche, Ubermensch, Epicurus, Plato, Aristotle, Kant, Hegel, Marx, Weber, Freud</cp:keywords>
  <dc:description>generated by python-docx</dc:description>
  <cp:lastModifiedBy/>
  <cp:revision>1</cp:revision>
  <dcterms:created xsi:type="dcterms:W3CDTF">2013-12-23T23:15:00Z</dcterms:created>
  <dcterms:modified xsi:type="dcterms:W3CDTF">2013-12-23T23:15:00Z</dcterms:modified>
  <cp:category/>
</cp:coreProperties>
</file>