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auto" w:after="360" w:before="1100"/>
        <w:jc w:val="center"/>
        <w:bidi w:val="1"/>
      </w:pPr>
      <w:r>
        <w:rPr>
          <w:rFonts w:ascii="Arial" w:hAnsi="Arial" w:eastAsia="Noto Naskh Arabic" w:cs="Noto Naskh Arabic"/>
          <w:b/>
          <w:color w:val="1F4E79"/>
          <w:sz w:val="48"/>
        </w:rPr>
        <w:t>از انتظارِ جنگ خارجی تا سازمان‌دهی ملیِ غیرخشونت‌آمیز</w:t>
      </w:r>
    </w:p>
    <w:p>
      <w:pPr>
        <w:spacing w:line="300" w:lineRule="auto" w:after="120" w:before="0"/>
        <w:jc w:val="center"/>
        <w:bidi w:val="1"/>
      </w:pPr>
      <w:r>
        <w:rPr>
          <w:rFonts w:ascii="Arial" w:hAnsi="Arial" w:eastAsia="Noto Naskh Arabic" w:cs="Noto Naskh Arabic"/>
          <w:b/>
          <w:sz w:val="30"/>
        </w:rPr>
        <w:t>یک مقاله علمی ـ راهبردی درباره مسیر اپوزیسیون برانداز ایران پس از سناریوی توافق ایالات متحده و جمهوری اسلامی در ۲۴ مه ۲۰۲۶</w:t>
      </w:r>
    </w:p>
    <w:p>
      <w:pPr>
        <w:spacing w:line="300" w:lineRule="auto" w:after="120" w:before="400"/>
        <w:jc w:val="center"/>
        <w:bidi w:val="1"/>
      </w:pPr>
      <w:r>
        <w:rPr>
          <w:rFonts w:ascii="Arial" w:hAnsi="Arial" w:eastAsia="Noto Naskh Arabic" w:cs="Noto Naskh Arabic"/>
          <w:sz w:val="24"/>
        </w:rPr>
        <w:t>تهیه‌شده برای: Mr Peyman Bakhshayesh, MD, PhD, MBA</w:t>
        <w:br/>
        <w:t>Consultant Trauma &amp; Orthopaedics | Clinical Lead for General Trauma</w:t>
      </w:r>
    </w:p>
    <w:p>
      <w:pPr>
        <w:spacing w:line="300" w:lineRule="auto" w:after="120" w:before="200"/>
        <w:jc w:val="center"/>
        <w:bidi w:val="1"/>
      </w:pPr>
      <w:r>
        <w:rPr>
          <w:rFonts w:ascii="Arial" w:hAnsi="Arial" w:eastAsia="Noto Naskh Arabic" w:cs="Noto Naskh Arabic"/>
          <w:sz w:val="24"/>
        </w:rPr>
        <w:t>تاریخ: ۲۴ مه ۲۰۲۶</w:t>
      </w:r>
    </w:p>
    <w:p>
      <w:pPr>
        <w:spacing w:line="300" w:lineRule="auto" w:after="120" w:before="0"/>
        <w:jc w:val="right"/>
        <w:bidi w:val="1"/>
      </w:pPr>
      <w:r>
        <w:rPr>
          <w:rFonts w:ascii="Arial" w:hAnsi="Arial" w:eastAsia="Noto Naskh Arabic" w:cs="Noto Naskh Arabic"/>
          <w:b w:val="0"/>
          <w:sz w:val="22"/>
        </w:rPr>
        <w:t>یادداشت روش‌شناختی: این متن سناریوی «توافق یا تمدید آتش‌بس» را به‌عنوان فرض تحلیلی بررسی می‌کند. برخی جزئیات گزارش‌شده درباره چارچوب توافق تا زمان نگارش هنوز نهایی یا رسماً منتشر نشده‌اند؛ بنابراین توصیه‌های راهبردی بر اصول عمومی گذار، مقاومت مدنی غیرخشونت‌آمیز، ائتلاف‌سازی و کاهش ریسک برای شهروندان استوار است، نه بر عملیات خشونت‌آمیز یا خرابکاری.</w:t>
      </w:r>
    </w:p>
    <w:p>
      <w:r>
        <w:br w:type="page"/>
      </w:r>
    </w:p>
    <w:p>
      <w:pPr>
        <w:pStyle w:val="Heading1"/>
        <w:spacing w:line="300" w:lineRule="auto" w:after="120" w:before="0"/>
        <w:jc w:val="right"/>
        <w:bidi w:val="1"/>
      </w:pPr>
      <w:r>
        <w:rPr>
          <w:rFonts w:ascii="Arial" w:hAnsi="Arial" w:eastAsia="Noto Naskh Arabic" w:cs="Noto Naskh Arabic"/>
          <w:b/>
          <w:color w:val="1F4E79"/>
          <w:sz w:val="36"/>
        </w:rPr>
        <w:t>چکیده اجرایی</w:t>
      </w:r>
    </w:p>
    <w:p>
      <w:pPr>
        <w:spacing w:line="300" w:lineRule="auto" w:after="120" w:before="0"/>
        <w:jc w:val="right"/>
        <w:bidi w:val="1"/>
      </w:pPr>
      <w:r>
        <w:rPr>
          <w:rFonts w:ascii="Arial" w:hAnsi="Arial" w:eastAsia="Noto Naskh Arabic" w:cs="Noto Naskh Arabic"/>
          <w:b w:val="0"/>
          <w:sz w:val="24"/>
        </w:rPr>
        <w:t>اگر فرض کنیم که ایالات متحده و جمهوری اسلامی پس از بحران نظامی و بحران تنگه هرمز به سمت تمدید آتش‌بس، بازگشایی مسیر انرژی و مذاکره مرحله‌ای حرکت کنند، آنگاه بخشی از اپوزیسیون که تمام امید خود را به فروپاشی نظام از طریق جنگ خارجی گره زده بود، با یک تغییر پارادایم روبه‌رو می‌شود. این تغییر به معنای پایان امکان گذار نیست؛ بلکه به معنای انتقال مرکز ثقل از میدان نظامی خارجی به میدان جامعه، اقتصاد، مشروعیت، اعتصاب مدنی، شبکه‌سازی اجتماعی و ائتلاف حداقلی است.</w:t>
      </w:r>
    </w:p>
    <w:p>
      <w:pPr>
        <w:spacing w:line="300" w:lineRule="auto" w:after="120" w:before="0"/>
        <w:jc w:val="right"/>
        <w:bidi w:val="1"/>
      </w:pPr>
      <w:r>
        <w:rPr>
          <w:rFonts w:ascii="Arial" w:hAnsi="Arial" w:eastAsia="Noto Naskh Arabic" w:cs="Noto Naskh Arabic"/>
          <w:b w:val="0"/>
          <w:sz w:val="24"/>
        </w:rPr>
        <w:t>این مقاله استدلال می‌کند که در چنین شرایطی، شاهزاده رضا پهلوی همچنان می‌تواند نقش نمادین و فراگیر مهمی داشته باشد: نمایندگی سکولاردموکراسی، تمامیت ارضی، صندوق رأی، پلورالیسم سیاسی و پیوند میان ایران داخل و خارج. اما هیچ رهبری از بیرون کشور، به‌تنهایی و بدون سازمان‌های صنفی، مدنی، دانشجویی، زنان، معلمان، کارگران، بازاریان، بازنشستگان و شبکه‌های محلی، قادر به مدیریت یک انقلاب اجتماعی از پایین به بالا نیست. بنابراین راهبرد اصلی باید ترکیب رهبری نمادین با سازمان‌دهی افقی، ائتلافی و غیرخشونت‌آمیز باشد.</w:t>
      </w:r>
    </w:p>
    <w:p>
      <w:pPr>
        <w:spacing w:line="300" w:lineRule="auto" w:after="120" w:before="0"/>
        <w:jc w:val="right"/>
        <w:bidi w:val="1"/>
      </w:pPr>
      <w:r>
        <w:rPr>
          <w:rFonts w:ascii="Arial" w:hAnsi="Arial" w:eastAsia="Noto Naskh Arabic" w:cs="Noto Naskh Arabic"/>
          <w:b w:val="0"/>
          <w:sz w:val="24"/>
        </w:rPr>
        <w:t>نتیجه راهبردی این است: اگر جنگ متوقف شود، اپوزیسیون باید از «روایت نجات توسط نیروی خارجی» به «ساخت ظرفیت ملی برای نافرمانی مدنی، اعتصاب‌های قانونی/غیرخشونت‌آمیز، بسیج صنفی، و برنامه انتقال دموکراتیک» عبور کند. این مقاله چارچوبی چندلایه برای چنین عبوری ارائه می‌دهد.</w:t>
      </w:r>
    </w:p>
    <w:p>
      <w:pPr>
        <w:pStyle w:val="Heading1"/>
        <w:spacing w:line="300" w:lineRule="auto" w:after="120" w:before="0"/>
        <w:jc w:val="right"/>
        <w:bidi w:val="1"/>
      </w:pPr>
      <w:r>
        <w:rPr>
          <w:rFonts w:ascii="Arial" w:hAnsi="Arial" w:eastAsia="Noto Naskh Arabic" w:cs="Noto Naskh Arabic"/>
          <w:b/>
          <w:color w:val="1F4E79"/>
          <w:sz w:val="36"/>
        </w:rPr>
        <w:t>۱. زمینه ژئوپلیتیک: چرا توافق خارجی لزوماً به معنای تثبیت داخلی نیست؟</w:t>
      </w:r>
    </w:p>
    <w:p>
      <w:pPr>
        <w:spacing w:line="300" w:lineRule="auto" w:after="120" w:before="0"/>
        <w:jc w:val="right"/>
        <w:bidi w:val="1"/>
      </w:pPr>
      <w:r>
        <w:rPr>
          <w:rFonts w:ascii="Arial" w:hAnsi="Arial" w:eastAsia="Noto Naskh Arabic" w:cs="Noto Naskh Arabic"/>
          <w:b w:val="0"/>
          <w:sz w:val="24"/>
        </w:rPr>
        <w:t>در ۲۴ مه ۲۰۲۶، گزارش‌های معتبر بین‌المللی از نزدیک بودن یک چارچوب آمریکا ـ ایران برای تمدید آتش‌بس، بازگشایی تنگه هرمز و مدیریت بحران انرژی سخن گفتند. خبرگزاری رویترز گزارش کرد که چارچوب پیشنهادی شامل تمدید آتش‌بس ۶۰ روزه، بازگشایی تنگه هرمز، امکان فروش نفت ایران، رفع برخی محدودیت‌ها و ادامه بحث درباره پرونده هسته‌ای است. آسوشیتدپرس نیز گزارش کرد که دولت ترامپ از «تا حد زیادی مذاکره شدن» یک تفاهم سخن گفته، اگرچه همه جزئیات ـ به‌ویژه درباره برنامه هسته‌ای، غنی‌سازی و ذخایر اورانیوم با غنای بالا ـ هنوز قطعی نشده بود.</w:t>
      </w:r>
    </w:p>
    <w:p>
      <w:pPr>
        <w:spacing w:line="300" w:lineRule="auto" w:after="120" w:before="0"/>
        <w:jc w:val="right"/>
        <w:bidi w:val="1"/>
      </w:pPr>
      <w:r>
        <w:rPr>
          <w:rFonts w:ascii="Arial" w:hAnsi="Arial" w:eastAsia="Noto Naskh Arabic" w:cs="Noto Naskh Arabic"/>
          <w:b w:val="0"/>
          <w:sz w:val="24"/>
        </w:rPr>
        <w:t>اهمیت این سناریو در آن است که دولت‌های غربی در ارزیابی ریسک خود تنها به سرنوشت جمهوری اسلامی نگاه نمی‌کنند؛ بلکه امنیت انرژی، کشتیرانی، تورم، قیمت سوخت، ثبات شرکای خلیج فارس، امنیت اسرائیل، و عدم گسترش جنگ منطقه‌ای را هم محاسبه می‌کنند. ایران از نظر جغرافیایی کشوری بزرگ با مساحت حدود ۱٬۶۴۸٬۱۹۵ کیلومتر مربع است و جمعیت آن در برآوردهای اخیر حدود ۹۰ میلیون نفر یا بیشتر گزارش شده است. چنین کشوری نه مانند یک حکومت کوچک قابل اشغال سریع است، نه مانند یک گروه شبه‌نظامی صرفاً با ضربه نظامی قابل حذف.</w:t>
      </w:r>
    </w:p>
    <w:p>
      <w:pPr>
        <w:spacing w:line="300" w:lineRule="auto" w:after="120" w:before="0"/>
        <w:jc w:val="right"/>
        <w:bidi w:val="1"/>
      </w:pPr>
      <w:r>
        <w:rPr>
          <w:rFonts w:ascii="Arial" w:hAnsi="Arial" w:eastAsia="Noto Naskh Arabic" w:cs="Noto Naskh Arabic"/>
          <w:b w:val="0"/>
          <w:sz w:val="24"/>
        </w:rPr>
        <w:t>اما این واقعیت به معنای شکست‌ناپذیری سیاسی جمهوری اسلامی نیست. دولت‌ها ممکن است از نظر نظامی به سازش برسند، اما مشروعیت داخلی، توان اقتصادی، اعتماد عمومی، انسجام اجتماعی و ظرفیت حکمرانی با امضای تفاهم‌نامه بازسازی نمی‌شود. اگر بحران اقتصادی، تورم، فساد، بی‌اعتمادی، سرکوب، نابرابری و شکاف دولت ـ ملت ادامه یابد، «توافق خارجی» فقط زمان می‌خرد؛ مشروعیت تولید نمی‌کند.</w:t>
      </w:r>
    </w:p>
    <w:p>
      <w:pPr>
        <w:pStyle w:val="Heading1"/>
        <w:spacing w:line="300" w:lineRule="auto" w:after="120" w:before="0"/>
        <w:jc w:val="right"/>
        <w:bidi w:val="1"/>
      </w:pPr>
      <w:r>
        <w:rPr>
          <w:rFonts w:ascii="Arial" w:hAnsi="Arial" w:eastAsia="Noto Naskh Arabic" w:cs="Noto Naskh Arabic"/>
          <w:b/>
          <w:color w:val="1F4E79"/>
          <w:sz w:val="36"/>
        </w:rPr>
        <w:t>۲. تفکیک سه میدان: جنگ، دولت و جامعه</w:t>
      </w:r>
    </w:p>
    <w:p>
      <w:pPr>
        <w:spacing w:line="300" w:lineRule="auto" w:after="120" w:before="0"/>
        <w:jc w:val="right"/>
        <w:bidi w:val="1"/>
      </w:pPr>
      <w:r>
        <w:rPr>
          <w:rFonts w:ascii="Arial" w:hAnsi="Arial" w:eastAsia="Noto Naskh Arabic" w:cs="Noto Naskh Arabic"/>
          <w:b w:val="0"/>
          <w:sz w:val="24"/>
        </w:rPr>
        <w:t>برای تحلیل دقیق باید سه میدان را از هم جدا کرد:</w:t>
      </w:r>
    </w:p>
    <w:p>
      <w:pPr>
        <w:spacing w:line="300" w:lineRule="auto" w:after="120" w:before="0"/>
        <w:ind w:left="0"/>
        <w:jc w:val="right"/>
        <w:bidi w:val="1"/>
      </w:pPr>
      <w:r>
        <w:rPr>
          <w:rFonts w:ascii="Arial" w:hAnsi="Arial" w:eastAsia="Noto Naskh Arabic" w:cs="Noto Naskh Arabic"/>
          <w:sz w:val="23"/>
        </w:rPr>
        <w:t>• میدان جنگ خارجی: محاسبات آمریکا، اسرائیل، کشورهای خلیج فارس، پاکستان، قطر، عمان و بازار انرژی.</w:t>
      </w:r>
    </w:p>
    <w:p>
      <w:pPr>
        <w:spacing w:line="300" w:lineRule="auto" w:after="120" w:before="0"/>
        <w:ind w:left="0"/>
        <w:jc w:val="right"/>
        <w:bidi w:val="1"/>
      </w:pPr>
      <w:r>
        <w:rPr>
          <w:rFonts w:ascii="Arial" w:hAnsi="Arial" w:eastAsia="Noto Naskh Arabic" w:cs="Noto Naskh Arabic"/>
          <w:sz w:val="23"/>
        </w:rPr>
        <w:t>• میدان دولت و حکومت: توان سرکوب، بوروکراسی، سپاه، نیروی انتظامی، دستگاه تبلیغات، شبکه‌های مذهبی و اقتصاد رانتی.</w:t>
      </w:r>
    </w:p>
    <w:p>
      <w:pPr>
        <w:spacing w:line="300" w:lineRule="auto" w:after="120" w:before="0"/>
        <w:ind w:left="0"/>
        <w:jc w:val="right"/>
        <w:bidi w:val="1"/>
      </w:pPr>
      <w:r>
        <w:rPr>
          <w:rFonts w:ascii="Arial" w:hAnsi="Arial" w:eastAsia="Noto Naskh Arabic" w:cs="Noto Naskh Arabic"/>
          <w:sz w:val="23"/>
        </w:rPr>
        <w:t>• میدان جامعه: کارگران، معلمان، دانشجویان، زنان، بازنشستگان، کسبه، اقوام، طبقات متوسط، حاشیه‌نشینان، و شبکه‌های دیاسپورا.</w:t>
      </w:r>
    </w:p>
    <w:p>
      <w:pPr>
        <w:spacing w:line="300" w:lineRule="auto" w:after="120" w:before="0"/>
        <w:jc w:val="right"/>
        <w:bidi w:val="1"/>
      </w:pPr>
      <w:r>
        <w:rPr>
          <w:rFonts w:ascii="Arial" w:hAnsi="Arial" w:eastAsia="Noto Naskh Arabic" w:cs="Noto Naskh Arabic"/>
          <w:b w:val="0"/>
          <w:sz w:val="24"/>
        </w:rPr>
        <w:t>اشتباه راهبردی زمانی رخ می‌دهد که اپوزیسیون تصور کند شکست یا توافق در میدان جنگ، به‌طور خودکار سرنوشت میدان جامعه را تعیین می‌کند. تجربه انقلاب‌ها نشان می‌دهد که میدان جامعه قواعد خود را دارد: سازمان، روایت، هزینه مشارکت، اعتماد میان گروه‌ها، ظرفیت تداوم، توان اعتصاب، و توان ایجاد بدیل سیاسی.</w:t>
      </w:r>
    </w:p>
    <w:p>
      <w:pPr>
        <w:pStyle w:val="Heading1"/>
        <w:spacing w:line="300" w:lineRule="auto" w:after="120" w:before="0"/>
        <w:jc w:val="right"/>
        <w:bidi w:val="1"/>
      </w:pPr>
      <w:r>
        <w:rPr>
          <w:rFonts w:ascii="Arial" w:hAnsi="Arial" w:eastAsia="Noto Naskh Arabic" w:cs="Noto Naskh Arabic"/>
          <w:b/>
          <w:color w:val="1F4E79"/>
          <w:sz w:val="36"/>
        </w:rPr>
        <w:t>۳. جایگاه شاهزاده رضا پهلوی: سرمایه نمادین، نه جایگزین سازمان اجتماعی</w:t>
      </w:r>
    </w:p>
    <w:p>
      <w:pPr>
        <w:spacing w:line="300" w:lineRule="auto" w:after="120" w:before="0"/>
        <w:jc w:val="right"/>
        <w:bidi w:val="1"/>
      </w:pPr>
      <w:r>
        <w:rPr>
          <w:rFonts w:ascii="Arial" w:hAnsi="Arial" w:eastAsia="Noto Naskh Arabic" w:cs="Noto Naskh Arabic"/>
          <w:b w:val="0"/>
          <w:sz w:val="24"/>
        </w:rPr>
        <w:t>شاهزاده رضا پهلوی در سال‌های اخیر برای بخش مهمی از جامعه ایران و دیاسپورا به نماد سکولاردموکراسی، تمامیت ارضی، صندوق رأی و مخالفت با جمهوری اسلامی تبدیل شده است. این سرمایه نمادین ارزشمند است، زیرا جنبش‌های گذار معمولاً به چهره‌هایی نیاز دارند که بتوانند افق سیاسی را ساده، قابل فهم و قابل اعتماد کنند. با این حال، سرمایه نمادین با ظرفیت سازمانی یکی نیست.</w:t>
      </w:r>
    </w:p>
    <w:p>
      <w:pPr>
        <w:spacing w:line="300" w:lineRule="auto" w:after="120" w:before="0"/>
        <w:jc w:val="right"/>
        <w:bidi w:val="1"/>
      </w:pPr>
      <w:r>
        <w:rPr>
          <w:rFonts w:ascii="Arial" w:hAnsi="Arial" w:eastAsia="Noto Naskh Arabic" w:cs="Noto Naskh Arabic"/>
          <w:b w:val="0"/>
          <w:sz w:val="24"/>
        </w:rPr>
        <w:t>یک رهبر تبعیدی یا خارج از کشور، حتی اگر محبوب و دارای مشروعیت اخلاقی باشد، نمی‌تواند جای سازمان‌های صنفی، اتحادیه‌های مستقل، شوراهای محلی، شبکه‌های دانشجویی، انجمن‌های زنان، انجمن‌های معلمان و گروه‌های حقوقی را بگیرد. رهبر نمادین می‌تواند جهت بدهد، اعتماد ایجاد کند، تضادها را کاهش دهد و افق گذار را ترسیم کند؛ اما موتور اجتماعی گذار باید در داخل جامعه شکل بگیرد.</w:t>
      </w:r>
    </w:p>
    <w:p>
      <w:pPr>
        <w:spacing w:line="300" w:lineRule="auto" w:after="120" w:before="0"/>
        <w:jc w:val="right"/>
        <w:bidi w:val="1"/>
      </w:pPr>
      <w:r>
        <w:rPr>
          <w:rFonts w:ascii="Arial" w:hAnsi="Arial" w:eastAsia="Noto Naskh Arabic" w:cs="Noto Naskh Arabic"/>
          <w:b w:val="0"/>
          <w:sz w:val="24"/>
        </w:rPr>
        <w:t>بنابراین راهبرد درست نه حذف رهبری نمادین است، نه انتظار معجزه از آن. راهبرد درست این است که «رهبری نمادین» با «سازمان‌دهی اجتماعی مستقل و غیرخشونت‌آمیز» پیوند بخورد. در این مدل، شاهزاده رضا پهلوی می‌تواند نقش پرچم وحدت و ضامن رأی مردم را داشته باشد، اما تصمیم‌سازی عملی باید از دل جامعه، گروه‌های صنفی، و ائتلاف‌های محلی و ملی بیرون بیاید.</w:t>
      </w:r>
    </w:p>
    <w:p>
      <w:pPr>
        <w:pStyle w:val="Heading1"/>
        <w:spacing w:line="300" w:lineRule="auto" w:after="120" w:before="0"/>
        <w:jc w:val="right"/>
        <w:bidi w:val="1"/>
      </w:pPr>
      <w:r>
        <w:rPr>
          <w:rFonts w:ascii="Arial" w:hAnsi="Arial" w:eastAsia="Noto Naskh Arabic" w:cs="Noto Naskh Arabic"/>
          <w:b/>
          <w:color w:val="1F4E79"/>
          <w:sz w:val="36"/>
        </w:rPr>
        <w:t>۴. درس‌های تطبیقی از انقلاب‌ها و گذارهای سیاسی</w:t>
      </w:r>
    </w:p>
    <w:p>
      <w:pPr>
        <w:spacing w:line="300" w:lineRule="auto" w:after="120" w:before="0"/>
        <w:jc w:val="right"/>
        <w:bidi w:val="1"/>
      </w:pPr>
      <w:r>
        <w:rPr>
          <w:rFonts w:ascii="Arial" w:hAnsi="Arial" w:eastAsia="Noto Naskh Arabic" w:cs="Noto Naskh Arabic"/>
          <w:b w:val="0"/>
          <w:sz w:val="24"/>
        </w:rPr>
        <w:t>تجربه‌های تاریخی نشان می‌دهد که انقلاب‌ها و گذارهای موفق معمولاً از ترکیب چند عامل شکل می‌گیرند: بحران مشروعیت حکومت، شکاف در نخبگان قدرت، بسیج اجتماعی پایدار، رهبری قابل اعتماد، روایت مشترک، و برنامه انتقال. هیچ‌کدام از این عوامل به‌تنهایی کافی نیستند.</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vAlign w:val="center"/>
            <w:shd w:fill="D9EAF7"/>
            <w:textDirection w:val="rlTb"/>
          </w:tcPr>
          <w:p>
            <w:pPr>
              <w:spacing w:line="300" w:lineRule="auto" w:after="120" w:before="0"/>
              <w:jc w:val="right"/>
              <w:bidi w:val="1"/>
            </w:pPr>
            <w:r/>
            <w:r>
              <w:rPr>
                <w:rFonts w:ascii="Arial" w:hAnsi="Arial" w:eastAsia="Noto Naskh Arabic" w:cs="Noto Naskh Arabic"/>
                <w:b/>
                <w:sz w:val="19"/>
              </w:rPr>
              <w:t>نمونه تاریخی</w:t>
            </w:r>
          </w:p>
        </w:tc>
        <w:tc>
          <w:tcPr>
            <w:tcW w:type="dxa" w:w="2016"/>
            <w:vAlign w:val="center"/>
            <w:shd w:fill="D9EAF7"/>
            <w:textDirection w:val="rlTb"/>
          </w:tcPr>
          <w:p>
            <w:pPr>
              <w:spacing w:line="300" w:lineRule="auto" w:after="120" w:before="0"/>
              <w:jc w:val="right"/>
              <w:bidi w:val="1"/>
            </w:pPr>
            <w:r/>
            <w:r>
              <w:rPr>
                <w:rFonts w:ascii="Arial" w:hAnsi="Arial" w:eastAsia="Noto Naskh Arabic" w:cs="Noto Naskh Arabic"/>
                <w:b/>
                <w:sz w:val="19"/>
              </w:rPr>
              <w:t>عامل موفقیت</w:t>
            </w:r>
          </w:p>
        </w:tc>
        <w:tc>
          <w:tcPr>
            <w:tcW w:type="dxa" w:w="2016"/>
            <w:vAlign w:val="center"/>
            <w:shd w:fill="D9EAF7"/>
            <w:textDirection w:val="rlTb"/>
          </w:tcPr>
          <w:p>
            <w:pPr>
              <w:spacing w:line="300" w:lineRule="auto" w:after="120" w:before="0"/>
              <w:jc w:val="right"/>
              <w:bidi w:val="1"/>
            </w:pPr>
            <w:r/>
            <w:r>
              <w:rPr>
                <w:rFonts w:ascii="Arial" w:hAnsi="Arial" w:eastAsia="Noto Naskh Arabic" w:cs="Noto Naskh Arabic"/>
                <w:b/>
                <w:sz w:val="19"/>
              </w:rPr>
              <w:t>خطای رایج</w:t>
            </w:r>
          </w:p>
        </w:tc>
        <w:tc>
          <w:tcPr>
            <w:tcW w:type="dxa" w:w="2016"/>
            <w:vAlign w:val="center"/>
            <w:shd w:fill="D9EAF7"/>
            <w:textDirection w:val="rlTb"/>
          </w:tcPr>
          <w:p>
            <w:pPr>
              <w:spacing w:line="300" w:lineRule="auto" w:after="120" w:before="0"/>
              <w:jc w:val="right"/>
              <w:bidi w:val="1"/>
            </w:pPr>
            <w:r/>
            <w:r>
              <w:rPr>
                <w:rFonts w:ascii="Arial" w:hAnsi="Arial" w:eastAsia="Noto Naskh Arabic" w:cs="Noto Naskh Arabic"/>
                <w:b/>
                <w:sz w:val="19"/>
              </w:rPr>
              <w:t>درس برای ایران</w:t>
            </w:r>
          </w:p>
        </w:tc>
        <w:tc>
          <w:tcPr>
            <w:tcW w:type="dxa" w:w="2016"/>
            <w:vAlign w:val="center"/>
            <w:shd w:fill="D9EAF7"/>
            <w:textDirection w:val="rlTb"/>
          </w:tcPr>
          <w:p>
            <w:pPr>
              <w:spacing w:line="300" w:lineRule="auto" w:after="120" w:before="0"/>
              <w:jc w:val="right"/>
              <w:bidi w:val="1"/>
            </w:pPr>
            <w:r/>
            <w:r>
              <w:rPr>
                <w:rFonts w:ascii="Arial" w:hAnsi="Arial" w:eastAsia="Noto Naskh Arabic" w:cs="Noto Naskh Arabic"/>
                <w:b/>
                <w:sz w:val="19"/>
              </w:rPr>
              <w:t>سطح کاربرد</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لهستان و همبستگی</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پیوند کارگران، کلیسا، روشنفکران و مذاکره سیاسی</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وابستگی به اعتراض خیابانی صرف</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اعتصاب صنفی وقتی مؤثر است که شبکه اعتماد و نمایندگی داشته باشد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بالا</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آفریقای جنوبی</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ائتلاف گسترده، فشار داخلی و خارجی، رهبری مذاکره‌کننده</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انتقام‌جویی کور پس از گذار</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گذار باید با برنامه آشتی، عدالت و انتخابات همراه شود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بالا</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چکسلواکی ۱۹۸۹</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اعتراض مدنی، اعتصاب عمومی نمادین، شکاف در حکومت</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نبود آمادگی نهادی برای پس از پیروزی</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اپوزیسیون باید قبل از لحظه پیروزی، طرح اداره موقت داشته باشد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متوسط</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رومانی ۱۹۸۹</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فروپاشی سریع و خشونت‌آمیز رأس قدرت</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توهم اینکه خشونت گذار را پاک‌تر می‌کند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خشونت، خلأ قدرت و بازتولید نیروهای امنیتی را تقویت می‌کند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هشدار</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بهار عربی</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انفجار خیابانی و سقوط سریع برخی حکومت‌ها</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نبود ائتلاف پساسقوط و ضعف نهادهای دموکراتیک</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سقوط حکومت بدون برنامه انتقال می‌تواند به هرج‌ومرج یا بازگشت اقتدارگرایی منجر شود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بسیار بالا</w:t>
            </w:r>
          </w:p>
        </w:tc>
      </w:tr>
      <w:tr>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انقلاب ۱۳۵۷ ایران</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ائتلاف منفی علیه حکومت وقت</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نبود توافق حداقلی بر سر قانون اساسی و حقوق اقلیت‌ها</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ائتلاف صرفاً سلبی کافی نیست؛ باید منشور حداقلی و سازوکار انتخابات داشته باشد</w:t>
            </w:r>
          </w:p>
        </w:tc>
        <w:tc>
          <w:tcPr>
            <w:tcW w:type="dxa" w:w="2016"/>
            <w:vAlign w:val="center"/>
            <w:textDirection w:val="rlTb"/>
          </w:tcPr>
          <w:p>
            <w:pPr>
              <w:spacing w:line="300" w:lineRule="auto" w:after="120" w:before="0"/>
              <w:jc w:val="right"/>
              <w:bidi w:val="1"/>
            </w:pPr>
            <w:r/>
            <w:r>
              <w:rPr>
                <w:rFonts w:ascii="Arial" w:hAnsi="Arial" w:eastAsia="Noto Naskh Arabic" w:cs="Noto Naskh Arabic"/>
                <w:b w:val="0"/>
                <w:sz w:val="17"/>
              </w:rPr>
              <w:t>بسیار بالا</w:t>
            </w:r>
          </w:p>
        </w:tc>
      </w:tr>
    </w:tbl>
    <w:p>
      <w:pPr>
        <w:pStyle w:val="Heading1"/>
        <w:spacing w:line="300" w:lineRule="auto" w:after="120" w:before="0"/>
        <w:jc w:val="right"/>
        <w:bidi w:val="1"/>
      </w:pPr>
      <w:r>
        <w:rPr>
          <w:rFonts w:ascii="Arial" w:hAnsi="Arial" w:eastAsia="Noto Naskh Arabic" w:cs="Noto Naskh Arabic"/>
          <w:b/>
          <w:color w:val="1F4E79"/>
          <w:sz w:val="36"/>
        </w:rPr>
        <w:t>۵. نظریه مقاومت مدنی: چرا عدم خشونت یک انتخاب اخلاقی و راهبردی است؟</w:t>
      </w:r>
    </w:p>
    <w:p>
      <w:pPr>
        <w:spacing w:line="300" w:lineRule="auto" w:after="120" w:before="0"/>
        <w:jc w:val="right"/>
        <w:bidi w:val="1"/>
      </w:pPr>
      <w:r>
        <w:rPr>
          <w:rFonts w:ascii="Arial" w:hAnsi="Arial" w:eastAsia="Noto Naskh Arabic" w:cs="Noto Naskh Arabic"/>
          <w:b w:val="0"/>
          <w:sz w:val="24"/>
        </w:rPr>
        <w:t>پژوهش‌های کلاسیک جین شارپ و مطالعات تجربی اریکا چنووث و ماریا استفان نشان داده‌اند که مقاومت مدنی غیرخشونت‌آمیز، در بسیاری از موارد، از مقاومت مسلحانه ظرفیت مشارکت گسترده‌تری ایجاد می‌کند. علت ساده است: زنان، سالمندان، دانشجویان، کارمندان، بازاریان، معلمان، کارگران و اقشار متوسط معمولاً در مبارزه مسلحانه مشارکت نمی‌کنند، اما می‌توانند در اعتراض مدنی، اعتصاب صنفی، تحریم، امتناع از همکاری، شبکه اطلاع‌رسانی و حمایت از زندانیان سیاسی نقش داشته باشند.</w:t>
      </w:r>
    </w:p>
    <w:p>
      <w:pPr>
        <w:spacing w:line="300" w:lineRule="auto" w:after="120" w:before="0"/>
        <w:jc w:val="right"/>
        <w:bidi w:val="1"/>
      </w:pPr>
      <w:r>
        <w:rPr>
          <w:rFonts w:ascii="Arial" w:hAnsi="Arial" w:eastAsia="Noto Naskh Arabic" w:cs="Noto Naskh Arabic"/>
          <w:b w:val="0"/>
          <w:sz w:val="24"/>
        </w:rPr>
        <w:t>نکته کلیدی این است که مقاومت مدنی موفق، «خودجوشی دائمی» نیست؛ بلکه نیازمند نظم، پیام واحد، رعایت امنیت شهروندان، پرهیز از تحریک خشونت، مراقبت از نفوذ و خرابکاری، و حفظ مشروعیت اخلاقی است. هرچه رژیم تلاش کند اپوزیسیون را خشونت‌طلب، تجزیه‌طلب یا وابسته نشان دهد، راهبرد غیرخشونت‌آمیز و ملی می‌تواند این تبلیغات را خنثی کند.</w:t>
      </w:r>
    </w:p>
    <w:p>
      <w:pPr>
        <w:pStyle w:val="Heading1"/>
        <w:spacing w:line="300" w:lineRule="auto" w:after="120" w:before="0"/>
        <w:jc w:val="right"/>
        <w:bidi w:val="1"/>
      </w:pPr>
      <w:r>
        <w:rPr>
          <w:rFonts w:ascii="Arial" w:hAnsi="Arial" w:eastAsia="Noto Naskh Arabic" w:cs="Noto Naskh Arabic"/>
          <w:b/>
          <w:color w:val="1F4E79"/>
          <w:sz w:val="36"/>
        </w:rPr>
        <w:t>۶. راهبرد پس از سناریوی توافق: از شوک سیاسی تا بازآرایی اپوزیسیون</w:t>
      </w:r>
    </w:p>
    <w:p>
      <w:pPr>
        <w:spacing w:line="300" w:lineRule="auto" w:after="120" w:before="0"/>
        <w:jc w:val="right"/>
        <w:bidi w:val="1"/>
      </w:pPr>
      <w:r>
        <w:rPr>
          <w:rFonts w:ascii="Arial" w:hAnsi="Arial" w:eastAsia="Noto Naskh Arabic" w:cs="Noto Naskh Arabic"/>
          <w:b w:val="0"/>
          <w:sz w:val="24"/>
        </w:rPr>
        <w:t>اگر توافق آمریکا و جمهوری اسلامی تثبیت شود، اپوزیسیون نباید آن را پایان فرصت بداند. برعکس، هر توافقی که اینترنت، رفت‌وآمد، اقتصاد، دانشگاه‌ها، مدارس، بنادر، بانک‌ها یا مسیرهای ارتباطی را به «حالت عادی» برگرداند، امکان سازمان‌دهی مدنی را افزایش می‌دهد. رژیمی که برای بقای بین‌المللی مجبور به عادی‌سازی نسبی است، همزمان در داخل کشور با توقعات بالاتر مردم روبه‌رو می‌شود.</w:t>
      </w:r>
    </w:p>
    <w:p>
      <w:pPr>
        <w:spacing w:line="300" w:lineRule="auto" w:after="120" w:before="0"/>
        <w:jc w:val="right"/>
        <w:bidi w:val="1"/>
      </w:pPr>
      <w:r>
        <w:rPr>
          <w:rFonts w:ascii="Arial" w:hAnsi="Arial" w:eastAsia="Noto Naskh Arabic" w:cs="Noto Naskh Arabic"/>
          <w:b w:val="0"/>
          <w:sz w:val="24"/>
        </w:rPr>
        <w:t>راهبرد پیشنهادی در پنج محور خلاصه می‌شود:</w:t>
      </w:r>
    </w:p>
    <w:p>
      <w:pPr>
        <w:spacing w:line="300" w:lineRule="auto" w:after="120" w:before="0"/>
        <w:ind w:left="0"/>
        <w:jc w:val="right"/>
        <w:bidi w:val="1"/>
      </w:pPr>
      <w:r>
        <w:rPr>
          <w:rFonts w:ascii="Arial" w:hAnsi="Arial" w:eastAsia="Noto Naskh Arabic" w:cs="Noto Naskh Arabic"/>
          <w:sz w:val="23"/>
        </w:rPr>
        <w:t>• ائتلاف حداقلی: توافق بر سر سکولاردموکراسی، تمامیت ارضی، انتخابات آزاد، حقوق برابر شهروندی، و حق مردم برای انتخاب شکل نهایی حکومت.</w:t>
      </w:r>
    </w:p>
    <w:p>
      <w:pPr>
        <w:spacing w:line="300" w:lineRule="auto" w:after="120" w:before="0"/>
        <w:ind w:left="0"/>
        <w:jc w:val="right"/>
        <w:bidi w:val="1"/>
      </w:pPr>
      <w:r>
        <w:rPr>
          <w:rFonts w:ascii="Arial" w:hAnsi="Arial" w:eastAsia="Noto Naskh Arabic" w:cs="Noto Naskh Arabic"/>
          <w:sz w:val="23"/>
        </w:rPr>
        <w:t>• تقسیم کار میان داخل و خارج: خارج کشور باید رسانه، لابی، مستندسازی، حمایت حقوقی و انتقال تجربه فراهم کند؛ داخل کشور باید اولویت‌ها و ریتم واقعی جامعه را تعیین کند.</w:t>
      </w:r>
    </w:p>
    <w:p>
      <w:pPr>
        <w:spacing w:line="300" w:lineRule="auto" w:after="120" w:before="0"/>
        <w:ind w:left="0"/>
        <w:jc w:val="right"/>
        <w:bidi w:val="1"/>
      </w:pPr>
      <w:r>
        <w:rPr>
          <w:rFonts w:ascii="Arial" w:hAnsi="Arial" w:eastAsia="Noto Naskh Arabic" w:cs="Noto Naskh Arabic"/>
          <w:sz w:val="23"/>
        </w:rPr>
        <w:t>• سازمان‌دهی صنفی و مدنی: تمرکز بر حقوق کار، دستمزد، بازنشستگی، آموزش، اینترنت، آزادی زندانیان، حقوق زنان و امنیت اقتصادی؛ نه شعارهای انتزاعی جدا از زندگی روزمره.</w:t>
      </w:r>
    </w:p>
    <w:p>
      <w:pPr>
        <w:spacing w:line="300" w:lineRule="auto" w:after="120" w:before="0"/>
        <w:ind w:left="0"/>
        <w:jc w:val="right"/>
        <w:bidi w:val="1"/>
      </w:pPr>
      <w:r>
        <w:rPr>
          <w:rFonts w:ascii="Arial" w:hAnsi="Arial" w:eastAsia="Noto Naskh Arabic" w:cs="Noto Naskh Arabic"/>
          <w:sz w:val="23"/>
        </w:rPr>
        <w:t>• کاهش هزینه مشارکت: شکل‌های کم‌خطرتر نافرمانی مدنی، حمایت از خانواده‌های آسیب‌دیده، صندوق‌های شفاف کمک‌رسانی، و حفاظت حقوقی و رسانه‌ای.</w:t>
      </w:r>
    </w:p>
    <w:p>
      <w:pPr>
        <w:spacing w:line="300" w:lineRule="auto" w:after="120" w:before="0"/>
        <w:ind w:left="0"/>
        <w:jc w:val="right"/>
        <w:bidi w:val="1"/>
      </w:pPr>
      <w:r>
        <w:rPr>
          <w:rFonts w:ascii="Arial" w:hAnsi="Arial" w:eastAsia="Noto Naskh Arabic" w:cs="Noto Naskh Arabic"/>
          <w:sz w:val="23"/>
        </w:rPr>
        <w:t>• برنامه انتقال: اپوزیسیون باید نشان دهد فردای فروپاشی، کشور چگونه اداره می‌شود؛ امنیت، خدمات عمومی، حقوق اقلیت‌ها، انتخابات، دادگستری، و کنترل خشونت چگونه تضمین می‌شود.</w:t>
      </w:r>
    </w:p>
    <w:p>
      <w:pPr>
        <w:pStyle w:val="Heading1"/>
        <w:spacing w:line="300" w:lineRule="auto" w:after="120" w:before="0"/>
        <w:jc w:val="right"/>
        <w:bidi w:val="1"/>
      </w:pPr>
      <w:r>
        <w:rPr>
          <w:rFonts w:ascii="Arial" w:hAnsi="Arial" w:eastAsia="Noto Naskh Arabic" w:cs="Noto Naskh Arabic"/>
          <w:b/>
          <w:color w:val="1F4E79"/>
          <w:sz w:val="36"/>
        </w:rPr>
        <w:t>۷. اعتصاب‌ها: ابزار فشار اجتماعی، نه جایگزین سیاست</w:t>
      </w:r>
    </w:p>
    <w:p>
      <w:pPr>
        <w:spacing w:line="300" w:lineRule="auto" w:after="120" w:before="0"/>
        <w:jc w:val="right"/>
        <w:bidi w:val="1"/>
      </w:pPr>
      <w:r>
        <w:rPr>
          <w:rFonts w:ascii="Arial" w:hAnsi="Arial" w:eastAsia="Noto Naskh Arabic" w:cs="Noto Naskh Arabic"/>
          <w:b w:val="0"/>
          <w:sz w:val="24"/>
        </w:rPr>
        <w:t>اعتصاب‌های کارگری، صنفی و آموزشی می‌توانند فشار بسیار بزرگی بر یک حکومت اقتدارگرا وارد کنند، به‌ویژه وقتی بخش‌هایی مانند نفت، حمل‌ونقل، آموزش، بازار، خدمات شهری و دانشگاه‌ها درگیر شوند. اما اعتصاب فقط زمانی پایدار می‌شود که مطالبات روشن، زمان‌بندی واقع‌بینانه، پشتیبانی اجتماعی، حمایت مالی، حمایت حقوقی و روایت عمومی داشته باشد. اعتصاب بدون شبکه اعتماد می‌تواند به فرسایش، سرکوب، یا ناامیدی منجر شود.</w:t>
      </w:r>
    </w:p>
    <w:p>
      <w:pPr>
        <w:spacing w:line="300" w:lineRule="auto" w:after="120" w:before="0"/>
        <w:jc w:val="right"/>
        <w:bidi w:val="1"/>
      </w:pPr>
      <w:r>
        <w:rPr>
          <w:rFonts w:ascii="Arial" w:hAnsi="Arial" w:eastAsia="Noto Naskh Arabic" w:cs="Noto Naskh Arabic"/>
          <w:b w:val="0"/>
          <w:sz w:val="24"/>
        </w:rPr>
        <w:t>از منظر راهبردی، اعتصاب باید حول مطالبات قابل دفاع و عمومی شکل بگیرد: دستمزد عادلانه، امنیت شغلی، حق تشکل مستقل، آزادی معلمان و کارگران بازداشت‌شده، حق اینترنت آزاد، حق آموزش، حق درمان، و حق رأی آزاد. چنین مطالباتی، هم طبقات مختلف را به هم وصل می‌کند و هم مشروعیت اخلاقی جنبش را بالا می‌برد.</w:t>
      </w:r>
    </w:p>
    <w:p>
      <w:pPr>
        <w:spacing w:line="300" w:lineRule="auto" w:after="120" w:before="0"/>
        <w:jc w:val="right"/>
        <w:bidi w:val="1"/>
      </w:pPr>
      <w:r>
        <w:rPr>
          <w:rFonts w:ascii="Arial" w:hAnsi="Arial" w:eastAsia="Noto Naskh Arabic" w:cs="Noto Naskh Arabic"/>
          <w:b w:val="0"/>
          <w:sz w:val="24"/>
        </w:rPr>
        <w:t>مهم است تأکید شود که این مقاله از خرابکاری، حمله، خشونت یا آسیب به شهروندان و زیرساخت‌های حیاتی دفاع نمی‌کند. هدف، فشار مدنی و سیاسی غیرخشونت‌آمیز برای گذار دموکراتیک است، نه ایجاد رنج بیشتر برای مردم.</w:t>
      </w:r>
    </w:p>
    <w:p>
      <w:pPr>
        <w:pStyle w:val="Heading1"/>
        <w:spacing w:line="300" w:lineRule="auto" w:after="120" w:before="0"/>
        <w:jc w:val="right"/>
        <w:bidi w:val="1"/>
      </w:pPr>
      <w:r>
        <w:rPr>
          <w:rFonts w:ascii="Arial" w:hAnsi="Arial" w:eastAsia="Noto Naskh Arabic" w:cs="Noto Naskh Arabic"/>
          <w:b/>
          <w:color w:val="1F4E79"/>
          <w:sz w:val="36"/>
        </w:rPr>
        <w:t>۸. مسئله اپوزیسیون: از منیت سیاسی به منشور حداقلی</w:t>
      </w:r>
    </w:p>
    <w:p>
      <w:pPr>
        <w:spacing w:line="300" w:lineRule="auto" w:after="120" w:before="0"/>
        <w:jc w:val="right"/>
        <w:bidi w:val="1"/>
      </w:pPr>
      <w:r>
        <w:rPr>
          <w:rFonts w:ascii="Arial" w:hAnsi="Arial" w:eastAsia="Noto Naskh Arabic" w:cs="Noto Naskh Arabic"/>
          <w:b w:val="0"/>
          <w:sz w:val="24"/>
        </w:rPr>
        <w:t>یکی از بزرگ‌ترین موانع گذار در ایران، نه فقط قدرت جمهوری اسلامی، بلکه پراکندگی، بی‌اعتمادی و خودمحوری در اپوزیسیون است. اپوزیسیون برانداز از سلطنت‌طلبان، جمهوری‌خواهان سکولار، سوسیال‌دموکرات‌ها، لیبرال‌ها، ملی‌گرایان، فعالان زنان، فعالان کارگری، فعالان قومی، دانشجویان و گروه‌های حقوق بشری تشکیل شده است. هیچ‌کدام به‌تنهایی قادر به ساختن اکثریت ملی نیستند.</w:t>
      </w:r>
    </w:p>
    <w:p>
      <w:pPr>
        <w:spacing w:line="300" w:lineRule="auto" w:after="120" w:before="0"/>
        <w:jc w:val="right"/>
        <w:bidi w:val="1"/>
      </w:pPr>
      <w:r>
        <w:rPr>
          <w:rFonts w:ascii="Arial" w:hAnsi="Arial" w:eastAsia="Noto Naskh Arabic" w:cs="Noto Naskh Arabic"/>
          <w:b w:val="0"/>
          <w:sz w:val="24"/>
        </w:rPr>
        <w:t>بنابراین باید از ائتلاف حداکثری ایدئولوژیک به منشور حداقلی عبور کرد. منشور حداقلی به این معناست که گروه‌ها درباره همه چیز توافق ندارند، اما درباره چند اصل بنیادین همکاری می‌کنند: پایان حکومت دینی، حفظ تمامیت ارضی، انتخابات آزاد، آزادی احزاب، استقلال قوه قضائیه، برابری زن و مرد، حقوق اقلیت‌ها، و حق مردم برای انتخاب شکل نهایی نظام سیاسی.</w:t>
      </w:r>
    </w:p>
    <w:p>
      <w:pPr>
        <w:pStyle w:val="Heading1"/>
        <w:spacing w:line="300" w:lineRule="auto" w:after="120" w:before="0"/>
        <w:jc w:val="right"/>
        <w:bidi w:val="1"/>
      </w:pPr>
      <w:r>
        <w:rPr>
          <w:rFonts w:ascii="Arial" w:hAnsi="Arial" w:eastAsia="Noto Naskh Arabic" w:cs="Noto Naskh Arabic"/>
          <w:b/>
          <w:color w:val="1F4E79"/>
          <w:sz w:val="36"/>
        </w:rPr>
        <w:t>۹. ماتریس تصمیم‌گیری راهبردی</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D9EAF7"/>
            <w:textDirection w:val="rlTb"/>
          </w:tcPr>
          <w:p>
            <w:pPr>
              <w:spacing w:line="300" w:lineRule="auto" w:after="120" w:before="0"/>
              <w:jc w:val="right"/>
              <w:bidi w:val="1"/>
            </w:pPr>
            <w:r/>
            <w:r>
              <w:rPr>
                <w:rFonts w:ascii="Arial" w:hAnsi="Arial" w:eastAsia="Noto Naskh Arabic" w:cs="Noto Naskh Arabic"/>
                <w:b/>
                <w:sz w:val="19"/>
              </w:rPr>
              <w:t>سناریو</w:t>
            </w:r>
          </w:p>
        </w:tc>
        <w:tc>
          <w:tcPr>
            <w:tcW w:type="dxa" w:w="2520"/>
            <w:vAlign w:val="center"/>
            <w:shd w:fill="D9EAF7"/>
            <w:textDirection w:val="rlTb"/>
          </w:tcPr>
          <w:p>
            <w:pPr>
              <w:spacing w:line="300" w:lineRule="auto" w:after="120" w:before="0"/>
              <w:jc w:val="right"/>
              <w:bidi w:val="1"/>
            </w:pPr>
            <w:r/>
            <w:r>
              <w:rPr>
                <w:rFonts w:ascii="Arial" w:hAnsi="Arial" w:eastAsia="Noto Naskh Arabic" w:cs="Noto Naskh Arabic"/>
                <w:b/>
                <w:sz w:val="19"/>
              </w:rPr>
              <w:t>فرصت</w:t>
            </w:r>
          </w:p>
        </w:tc>
        <w:tc>
          <w:tcPr>
            <w:tcW w:type="dxa" w:w="2520"/>
            <w:vAlign w:val="center"/>
            <w:shd w:fill="D9EAF7"/>
            <w:textDirection w:val="rlTb"/>
          </w:tcPr>
          <w:p>
            <w:pPr>
              <w:spacing w:line="300" w:lineRule="auto" w:after="120" w:before="0"/>
              <w:jc w:val="right"/>
              <w:bidi w:val="1"/>
            </w:pPr>
            <w:r/>
            <w:r>
              <w:rPr>
                <w:rFonts w:ascii="Arial" w:hAnsi="Arial" w:eastAsia="Noto Naskh Arabic" w:cs="Noto Naskh Arabic"/>
                <w:b/>
                <w:sz w:val="19"/>
              </w:rPr>
              <w:t>ریسک</w:t>
            </w:r>
          </w:p>
        </w:tc>
        <w:tc>
          <w:tcPr>
            <w:tcW w:type="dxa" w:w="2520"/>
            <w:vAlign w:val="center"/>
            <w:shd w:fill="D9EAF7"/>
            <w:textDirection w:val="rlTb"/>
          </w:tcPr>
          <w:p>
            <w:pPr>
              <w:spacing w:line="300" w:lineRule="auto" w:after="120" w:before="0"/>
              <w:jc w:val="right"/>
              <w:bidi w:val="1"/>
            </w:pPr>
            <w:r/>
            <w:r>
              <w:rPr>
                <w:rFonts w:ascii="Arial" w:hAnsi="Arial" w:eastAsia="Noto Naskh Arabic" w:cs="Noto Naskh Arabic"/>
                <w:b/>
                <w:sz w:val="19"/>
              </w:rPr>
              <w:t>پاسخ پیشنهادی</w:t>
            </w:r>
          </w:p>
        </w:tc>
      </w:tr>
      <w:tr>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توافق خارجی تثبیت می‌شود</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کاهش جنگ، بازگشت ارتباطات، گشایش نسبی اقتصادی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بازسازی مشروعیت خارجی رژیم</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تمرکز بر مشروعیت داخلی، حقوق صنفی، مستندسازی سرکوب، ائتلاف حداقلی</w:t>
            </w:r>
          </w:p>
        </w:tc>
      </w:tr>
      <w:tr>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توافق شکست می‌خورد</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افزایش بحران حکومت و شکاف نخبگان</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جنگ، سرکوب، رنج عمومی، ملی‌گرایی حکومتی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حفظ خط غیرخشونت‌آمیز، دفاع از مردم، عدم افتادن در دام جنگ‌طلبی</w:t>
            </w:r>
          </w:p>
        </w:tc>
      </w:tr>
      <w:tr>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اینترنت بازتر می‌شود</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ارتباط‌گیری، آموزش مدنی، شبکه‌سازی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نفوذ، شناسایی، جنگ روانی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آموزش سواد رسانه‌ای، پیام واحد، پرهیز از افشای افراد داخل کشور</w:t>
            </w:r>
          </w:p>
        </w:tc>
      </w:tr>
      <w:tr>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اعتراضات صنفی گسترش می‌یابد</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پیوند نان، آزادی و کرامت</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سرکوب و خستگی اجتماعی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پشتیبانی حقوقی، مالی، رسانه‌ای و مطالبات قابل دفاع</w:t>
            </w:r>
          </w:p>
        </w:tc>
      </w:tr>
      <w:tr>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اختلاف اپوزیسیون بالا می‌گیرد</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فرصت بازتعریف رهبری جمعی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فرسایش اعتماد عمومی</w:t>
            </w:r>
          </w:p>
        </w:tc>
        <w:tc>
          <w:tcPr>
            <w:tcW w:type="dxa" w:w="2520"/>
            <w:vAlign w:val="center"/>
            <w:textDirection w:val="rlTb"/>
          </w:tcPr>
          <w:p>
            <w:pPr>
              <w:spacing w:line="300" w:lineRule="auto" w:after="120" w:before="0"/>
              <w:jc w:val="right"/>
              <w:bidi w:val="1"/>
            </w:pPr>
            <w:r/>
            <w:r>
              <w:rPr>
                <w:rFonts w:ascii="Arial" w:hAnsi="Arial" w:eastAsia="Noto Naskh Arabic" w:cs="Noto Naskh Arabic"/>
                <w:b w:val="0"/>
                <w:sz w:val="17"/>
              </w:rPr>
              <w:t>منشور حداقلی، داوری مستقل، شفافیت مالی و رسانه‌ای</w:t>
            </w:r>
          </w:p>
        </w:tc>
      </w:tr>
    </w:tbl>
    <w:p>
      <w:pPr>
        <w:pStyle w:val="Heading1"/>
        <w:spacing w:line="300" w:lineRule="auto" w:after="120" w:before="0"/>
        <w:jc w:val="right"/>
        <w:bidi w:val="1"/>
      </w:pPr>
      <w:r>
        <w:rPr>
          <w:rFonts w:ascii="Arial" w:hAnsi="Arial" w:eastAsia="Noto Naskh Arabic" w:cs="Noto Naskh Arabic"/>
          <w:b/>
          <w:color w:val="1F4E79"/>
          <w:sz w:val="36"/>
        </w:rPr>
        <w:t>۱۰. برنامه ۹۰ روزه پیشنهادی برای اپوزیسیون برانداز</w:t>
      </w:r>
    </w:p>
    <w:p>
      <w:pPr>
        <w:spacing w:line="300" w:lineRule="auto" w:after="120" w:before="0"/>
        <w:jc w:val="right"/>
        <w:bidi w:val="1"/>
      </w:pPr>
      <w:r>
        <w:rPr>
          <w:rFonts w:ascii="Arial" w:hAnsi="Arial" w:eastAsia="Noto Naskh Arabic" w:cs="Noto Naskh Arabic"/>
          <w:b w:val="0"/>
          <w:sz w:val="24"/>
        </w:rPr>
        <w:t>این برنامه عملیاتی به‌صورت کلان و غیرخشونت‌آمیز طراحی شده و هدف آن ایجاد ظرفیت سیاسی، نه دستورالعمل پنهانی یا پرخطر، است.</w:t>
      </w:r>
    </w:p>
    <w:p>
      <w:pPr>
        <w:pStyle w:val="Heading2"/>
        <w:spacing w:line="300" w:lineRule="auto" w:after="120" w:before="0"/>
        <w:jc w:val="right"/>
        <w:bidi w:val="1"/>
      </w:pPr>
      <w:r>
        <w:rPr>
          <w:rFonts w:ascii="Arial" w:hAnsi="Arial" w:eastAsia="Noto Naskh Arabic" w:cs="Noto Naskh Arabic"/>
          <w:b/>
          <w:color w:val="2F5496"/>
          <w:sz w:val="30"/>
        </w:rPr>
        <w:t>مرحله اول: ۳۰ روز نخست ـ بازتعریف روایت</w:t>
      </w:r>
    </w:p>
    <w:p>
      <w:pPr>
        <w:spacing w:line="300" w:lineRule="auto" w:after="120" w:before="0"/>
        <w:ind w:left="0"/>
        <w:jc w:val="right"/>
        <w:bidi w:val="1"/>
      </w:pPr>
      <w:r>
        <w:rPr>
          <w:rFonts w:ascii="Arial" w:hAnsi="Arial" w:eastAsia="Noto Naskh Arabic" w:cs="Noto Naskh Arabic"/>
          <w:sz w:val="23"/>
        </w:rPr>
        <w:t>• بیانیه مشترک درباره اینکه توافق خارجی مشروعیت داخلی تولید نمی‌کند.</w:t>
      </w:r>
    </w:p>
    <w:p>
      <w:pPr>
        <w:spacing w:line="300" w:lineRule="auto" w:after="120" w:before="0"/>
        <w:ind w:left="0"/>
        <w:jc w:val="right"/>
        <w:bidi w:val="1"/>
      </w:pPr>
      <w:r>
        <w:rPr>
          <w:rFonts w:ascii="Arial" w:hAnsi="Arial" w:eastAsia="Noto Naskh Arabic" w:cs="Noto Naskh Arabic"/>
          <w:sz w:val="23"/>
        </w:rPr>
        <w:t>• تأکید بر سکولاردموکراسی، صندوق رأی، تمامیت ارضی و حقوق برابر.</w:t>
      </w:r>
    </w:p>
    <w:p>
      <w:pPr>
        <w:spacing w:line="300" w:lineRule="auto" w:after="120" w:before="0"/>
        <w:ind w:left="0"/>
        <w:jc w:val="right"/>
        <w:bidi w:val="1"/>
      </w:pPr>
      <w:r>
        <w:rPr>
          <w:rFonts w:ascii="Arial" w:hAnsi="Arial" w:eastAsia="Noto Naskh Arabic" w:cs="Noto Naskh Arabic"/>
          <w:sz w:val="23"/>
        </w:rPr>
        <w:t>• پرهیز از زبان انتقام و حذف؛ تمرکز بر نجات کشور و کوتاه کردن رنج مردم.</w:t>
      </w:r>
    </w:p>
    <w:p>
      <w:pPr>
        <w:pStyle w:val="Heading2"/>
        <w:spacing w:line="300" w:lineRule="auto" w:after="120" w:before="0"/>
        <w:jc w:val="right"/>
        <w:bidi w:val="1"/>
      </w:pPr>
      <w:r>
        <w:rPr>
          <w:rFonts w:ascii="Arial" w:hAnsi="Arial" w:eastAsia="Noto Naskh Arabic" w:cs="Noto Naskh Arabic"/>
          <w:b/>
          <w:color w:val="2F5496"/>
          <w:sz w:val="30"/>
        </w:rPr>
        <w:t>مرحله دوم: روزهای ۳۰ تا ۶۰ ـ ائتلاف و شبکه‌سازی</w:t>
      </w:r>
    </w:p>
    <w:p>
      <w:pPr>
        <w:spacing w:line="300" w:lineRule="auto" w:after="120" w:before="0"/>
        <w:ind w:left="0"/>
        <w:jc w:val="right"/>
        <w:bidi w:val="1"/>
      </w:pPr>
      <w:r>
        <w:rPr>
          <w:rFonts w:ascii="Arial" w:hAnsi="Arial" w:eastAsia="Noto Naskh Arabic" w:cs="Noto Naskh Arabic"/>
          <w:sz w:val="23"/>
        </w:rPr>
        <w:t>• تشکیل کارگروه‌های علنی در حوزه کارگری، معلمان، دانشجویان، زنان، حقوق بشر، اقتصاد و انتقال.</w:t>
      </w:r>
    </w:p>
    <w:p>
      <w:pPr>
        <w:spacing w:line="300" w:lineRule="auto" w:after="120" w:before="0"/>
        <w:ind w:left="0"/>
        <w:jc w:val="right"/>
        <w:bidi w:val="1"/>
      </w:pPr>
      <w:r>
        <w:rPr>
          <w:rFonts w:ascii="Arial" w:hAnsi="Arial" w:eastAsia="Noto Naskh Arabic" w:cs="Noto Naskh Arabic"/>
          <w:sz w:val="23"/>
        </w:rPr>
        <w:t>• تدوین منشور حداقلی مشترک با امضای طیف‌های مختلف.</w:t>
      </w:r>
    </w:p>
    <w:p>
      <w:pPr>
        <w:spacing w:line="300" w:lineRule="auto" w:after="120" w:before="0"/>
        <w:ind w:left="0"/>
        <w:jc w:val="right"/>
        <w:bidi w:val="1"/>
      </w:pPr>
      <w:r>
        <w:rPr>
          <w:rFonts w:ascii="Arial" w:hAnsi="Arial" w:eastAsia="Noto Naskh Arabic" w:cs="Noto Naskh Arabic"/>
          <w:sz w:val="23"/>
        </w:rPr>
        <w:t>• هماهنگی دیاسپورا برای حمایت رسانه‌ای و حقوقی از داخل، بدون ادعای فرماندهی از بیرون.</w:t>
      </w:r>
    </w:p>
    <w:p>
      <w:pPr>
        <w:pStyle w:val="Heading2"/>
        <w:spacing w:line="300" w:lineRule="auto" w:after="120" w:before="0"/>
        <w:jc w:val="right"/>
        <w:bidi w:val="1"/>
      </w:pPr>
      <w:r>
        <w:rPr>
          <w:rFonts w:ascii="Arial" w:hAnsi="Arial" w:eastAsia="Noto Naskh Arabic" w:cs="Noto Naskh Arabic"/>
          <w:b/>
          <w:color w:val="2F5496"/>
          <w:sz w:val="30"/>
        </w:rPr>
        <w:t>مرحله سوم: روزهای ۶۰ تا ۹۰ ـ برنامه انتقال و فشار مدنی</w:t>
      </w:r>
    </w:p>
    <w:p>
      <w:pPr>
        <w:spacing w:line="300" w:lineRule="auto" w:after="120" w:before="0"/>
        <w:ind w:left="0"/>
        <w:jc w:val="right"/>
        <w:bidi w:val="1"/>
      </w:pPr>
      <w:r>
        <w:rPr>
          <w:rFonts w:ascii="Arial" w:hAnsi="Arial" w:eastAsia="Noto Naskh Arabic" w:cs="Noto Naskh Arabic"/>
          <w:sz w:val="23"/>
        </w:rPr>
        <w:t>• انتشار طرح دولت موقت یا شورای انتقال با حدود اختیارات محدود و زمان‌بندی انتخابات.</w:t>
      </w:r>
    </w:p>
    <w:p>
      <w:pPr>
        <w:spacing w:line="300" w:lineRule="auto" w:after="120" w:before="0"/>
        <w:ind w:left="0"/>
        <w:jc w:val="right"/>
        <w:bidi w:val="1"/>
      </w:pPr>
      <w:r>
        <w:rPr>
          <w:rFonts w:ascii="Arial" w:hAnsi="Arial" w:eastAsia="Noto Naskh Arabic" w:cs="Noto Naskh Arabic"/>
          <w:sz w:val="23"/>
        </w:rPr>
        <w:t>• تدوین بسته عدالت انتقالی: عفو مشروط برای نیروهای غیرجنایتکار، محاکمه عادلانه عاملان سرکوب، حفظ خدمات عمومی.</w:t>
      </w:r>
    </w:p>
    <w:p>
      <w:pPr>
        <w:spacing w:line="300" w:lineRule="auto" w:after="120" w:before="0"/>
        <w:ind w:left="0"/>
        <w:jc w:val="right"/>
        <w:bidi w:val="1"/>
      </w:pPr>
      <w:r>
        <w:rPr>
          <w:rFonts w:ascii="Arial" w:hAnsi="Arial" w:eastAsia="Noto Naskh Arabic" w:cs="Noto Naskh Arabic"/>
          <w:sz w:val="23"/>
        </w:rPr>
        <w:t>• تقویت مطالبات صنفی و مدنی با پیام مشترک: نان، آزادی، کرامت، انتخابات آزاد.</w:t>
      </w:r>
    </w:p>
    <w:p>
      <w:pPr>
        <w:pStyle w:val="Heading1"/>
        <w:spacing w:line="300" w:lineRule="auto" w:after="120" w:before="0"/>
        <w:jc w:val="right"/>
        <w:bidi w:val="1"/>
      </w:pPr>
      <w:r>
        <w:rPr>
          <w:rFonts w:ascii="Arial" w:hAnsi="Arial" w:eastAsia="Noto Naskh Arabic" w:cs="Noto Naskh Arabic"/>
          <w:b/>
          <w:color w:val="1F4E79"/>
          <w:sz w:val="36"/>
        </w:rPr>
        <w:t>۱۱. نتیجه‌گیری: انقلاب به‌مثابه سازمان، نه انفجار صرف</w:t>
      </w:r>
    </w:p>
    <w:p>
      <w:pPr>
        <w:spacing w:line="300" w:lineRule="auto" w:after="120" w:before="0"/>
        <w:jc w:val="right"/>
        <w:bidi w:val="1"/>
      </w:pPr>
      <w:r>
        <w:rPr>
          <w:rFonts w:ascii="Arial" w:hAnsi="Arial" w:eastAsia="Noto Naskh Arabic" w:cs="Noto Naskh Arabic"/>
          <w:b w:val="0"/>
          <w:sz w:val="24"/>
        </w:rPr>
        <w:t>سناریوی توافق ترامپ و جمهوری اسلامی، اگر تثبیت شود، برای بسیاری از ایرانیان ناامیدکننده خواهد بود؛ زیرا انتظار داشتند ضربه خارجی مسیر سقوط رژیم را کوتاه کند. اما تجربه تاریخ نشان می‌دهد که حکومت‌ها فقط با حمله نظامی یا فشار خارجی نمی‌افتند؛ آنها زمانی فرو می‌ریزند که جامعه بتواند به‌صورت پایدار، گسترده، غیرخشونت‌آمیز و سازمان‌یافته، هزینه حکمرانی غیرمشروع را بالا ببرد و همزمان بدیل سیاسی قابل اعتماد ارائه دهد.</w:t>
      </w:r>
    </w:p>
    <w:p>
      <w:pPr>
        <w:spacing w:line="300" w:lineRule="auto" w:after="120" w:before="0"/>
        <w:jc w:val="right"/>
        <w:bidi w:val="1"/>
      </w:pPr>
      <w:r>
        <w:rPr>
          <w:rFonts w:ascii="Arial" w:hAnsi="Arial" w:eastAsia="Noto Naskh Arabic" w:cs="Noto Naskh Arabic"/>
          <w:b w:val="0"/>
          <w:sz w:val="24"/>
        </w:rPr>
        <w:t>ایران امروز به رهبری نمادین نیاز دارد، اما بیش از آن به سازمان اجتماعی، ائتلاف حداقلی، نظم اخلاقی، پرهیز از خشونت، و برنامه روشن برای فردای گذار نیازمند است. شاهزاده رضا پهلوی می‌تواند پرچم وحدت و صدای صندوق رأی باشد، اما موتور انقلاب باید در کارخانه، دانشگاه، مدرسه، محله، بازار، خانواده، شبکه‌های زنان، معلمان، کارگران، بازنشستگان و دیاسپورای مسئول روشن شود.</w:t>
      </w:r>
    </w:p>
    <w:p>
      <w:pPr>
        <w:spacing w:line="300" w:lineRule="auto" w:after="120" w:before="0"/>
        <w:jc w:val="right"/>
        <w:bidi w:val="1"/>
      </w:pPr>
      <w:r>
        <w:rPr>
          <w:rFonts w:ascii="Arial" w:hAnsi="Arial" w:eastAsia="Noto Naskh Arabic" w:cs="Noto Naskh Arabic"/>
          <w:b w:val="0"/>
          <w:sz w:val="24"/>
        </w:rPr>
        <w:t>اگر اپوزیسیون از خودمحوری عبور کند و بر حداقل‌های ملی توافق کند، توافق خارجی نه پایان مبارزه، بلکه آغاز مرحله بالغ‌تر آن خواهد بود: مرحله‌ای که در آن جامعه ایران خود را از انتظار بیرونی رها کرده و ظرفیت داخلی گذار را می‌سازد.</w:t>
      </w:r>
    </w:p>
    <w:p>
      <w:pPr>
        <w:pStyle w:val="Heading1"/>
        <w:spacing w:line="300" w:lineRule="auto" w:after="120" w:before="0"/>
        <w:jc w:val="right"/>
        <w:bidi w:val="1"/>
      </w:pPr>
      <w:r>
        <w:rPr>
          <w:rFonts w:ascii="Arial" w:hAnsi="Arial" w:eastAsia="Noto Naskh Arabic" w:cs="Noto Naskh Arabic"/>
          <w:b/>
          <w:color w:val="1F4E79"/>
          <w:sz w:val="36"/>
        </w:rPr>
        <w:t>منابع منتخب</w:t>
      </w:r>
    </w:p>
    <w:p>
      <w:pPr>
        <w:spacing w:line="300" w:lineRule="auto" w:after="120" w:before="0"/>
        <w:ind w:left="288" w:hanging="288"/>
        <w:jc w:val="right"/>
        <w:bidi w:val="1"/>
      </w:pPr>
      <w:r>
        <w:rPr>
          <w:rFonts w:ascii="Arial" w:hAnsi="Arial" w:eastAsia="Noto Naskh Arabic" w:cs="Noto Naskh Arabic"/>
          <w:sz w:val="20"/>
        </w:rPr>
        <w:t>Associated Press. (2026, May 24). Trump says a deal with Iran and opening of Strait of Hormuz are “largely negotiated.”</w:t>
      </w:r>
    </w:p>
    <w:p>
      <w:pPr>
        <w:spacing w:line="300" w:lineRule="auto" w:after="120" w:before="0"/>
        <w:ind w:left="288" w:hanging="288"/>
        <w:jc w:val="right"/>
        <w:bidi w:val="1"/>
      </w:pPr>
      <w:r>
        <w:rPr>
          <w:rFonts w:ascii="Arial" w:hAnsi="Arial" w:eastAsia="Noto Naskh Arabic" w:cs="Noto Naskh Arabic"/>
          <w:sz w:val="20"/>
        </w:rPr>
        <w:t>Reuters. (2026, May 24). Trump says Iran deal is “largely negotiated,” would reopen Strait of Hormuz.</w:t>
      </w:r>
    </w:p>
    <w:p>
      <w:pPr>
        <w:spacing w:line="300" w:lineRule="auto" w:after="120" w:before="0"/>
        <w:ind w:left="288" w:hanging="288"/>
        <w:jc w:val="right"/>
        <w:bidi w:val="1"/>
      </w:pPr>
      <w:r>
        <w:rPr>
          <w:rFonts w:ascii="Arial" w:hAnsi="Arial" w:eastAsia="Noto Naskh Arabic" w:cs="Noto Naskh Arabic"/>
          <w:sz w:val="20"/>
        </w:rPr>
        <w:t>Reuters. (2026, May 24). Axios says proposed US-Iran deal involves opening strait during 60-day ceasefire extension.</w:t>
      </w:r>
    </w:p>
    <w:p>
      <w:pPr>
        <w:spacing w:line="300" w:lineRule="auto" w:after="120" w:before="0"/>
        <w:ind w:left="288" w:hanging="288"/>
        <w:jc w:val="right"/>
        <w:bidi w:val="1"/>
      </w:pPr>
      <w:r>
        <w:rPr>
          <w:rFonts w:ascii="Arial" w:hAnsi="Arial" w:eastAsia="Noto Naskh Arabic" w:cs="Noto Naskh Arabic"/>
          <w:sz w:val="20"/>
        </w:rPr>
        <w:t>The Guardian. (2026, May 24). What may be included in proposed Iran ceasefire deal?</w:t>
      </w:r>
    </w:p>
    <w:p>
      <w:pPr>
        <w:spacing w:line="300" w:lineRule="auto" w:after="120" w:before="0"/>
        <w:ind w:left="288" w:hanging="288"/>
        <w:jc w:val="right"/>
        <w:bidi w:val="1"/>
      </w:pPr>
      <w:r>
        <w:rPr>
          <w:rFonts w:ascii="Arial" w:hAnsi="Arial" w:eastAsia="Noto Naskh Arabic" w:cs="Noto Naskh Arabic"/>
          <w:sz w:val="20"/>
        </w:rPr>
        <w:t>UK House of Commons Library. (2026, April 24). US-Iran ceasefire and nuclear talks in 2026.</w:t>
      </w:r>
    </w:p>
    <w:p>
      <w:pPr>
        <w:spacing w:line="300" w:lineRule="auto" w:after="120" w:before="0"/>
        <w:ind w:left="288" w:hanging="288"/>
        <w:jc w:val="right"/>
        <w:bidi w:val="1"/>
      </w:pPr>
      <w:r>
        <w:rPr>
          <w:rFonts w:ascii="Arial" w:hAnsi="Arial" w:eastAsia="Noto Naskh Arabic" w:cs="Noto Naskh Arabic"/>
          <w:sz w:val="20"/>
        </w:rPr>
        <w:t>World Bank. Population, total - Iran, Islamic Rep. World Development Indicators.</w:t>
      </w:r>
    </w:p>
    <w:p>
      <w:pPr>
        <w:spacing w:line="300" w:lineRule="auto" w:after="120" w:before="0"/>
        <w:ind w:left="288" w:hanging="288"/>
        <w:jc w:val="right"/>
        <w:bidi w:val="1"/>
      </w:pPr>
      <w:r>
        <w:rPr>
          <w:rFonts w:ascii="Arial" w:hAnsi="Arial" w:eastAsia="Noto Naskh Arabic" w:cs="Noto Naskh Arabic"/>
          <w:sz w:val="20"/>
        </w:rPr>
        <w:t>OpenFactBook. Iran country profile: area, population, geography and economy.</w:t>
      </w:r>
    </w:p>
    <w:p>
      <w:pPr>
        <w:spacing w:line="300" w:lineRule="auto" w:after="120" w:before="0"/>
        <w:ind w:left="288" w:hanging="288"/>
        <w:jc w:val="right"/>
        <w:bidi w:val="1"/>
      </w:pPr>
      <w:r>
        <w:rPr>
          <w:rFonts w:ascii="Arial" w:hAnsi="Arial" w:eastAsia="Noto Naskh Arabic" w:cs="Noto Naskh Arabic"/>
          <w:sz w:val="20"/>
        </w:rPr>
        <w:t>Chenoweth, E., &amp; Stephan, M. J. (2011). Why Civil Resistance Works: The Strategic Logic of Nonviolent Conflict. Columbia University Press.</w:t>
      </w:r>
    </w:p>
    <w:p>
      <w:pPr>
        <w:spacing w:line="300" w:lineRule="auto" w:after="120" w:before="0"/>
        <w:ind w:left="288" w:hanging="288"/>
        <w:jc w:val="right"/>
        <w:bidi w:val="1"/>
      </w:pPr>
      <w:r>
        <w:rPr>
          <w:rFonts w:ascii="Arial" w:hAnsi="Arial" w:eastAsia="Noto Naskh Arabic" w:cs="Noto Naskh Arabic"/>
          <w:sz w:val="20"/>
        </w:rPr>
        <w:t>Chenoweth, E., &amp; Stephan, M. J. (2008). Why Civil Resistance Works: The Strategic Logic of Nonviolent Conflict. International Security, 33(1), 7-44.</w:t>
      </w:r>
    </w:p>
    <w:p>
      <w:pPr>
        <w:spacing w:line="300" w:lineRule="auto" w:after="120" w:before="0"/>
        <w:ind w:left="288" w:hanging="288"/>
        <w:jc w:val="right"/>
        <w:bidi w:val="1"/>
      </w:pPr>
      <w:r>
        <w:rPr>
          <w:rFonts w:ascii="Arial" w:hAnsi="Arial" w:eastAsia="Noto Naskh Arabic" w:cs="Noto Naskh Arabic"/>
          <w:sz w:val="20"/>
        </w:rPr>
        <w:t>Sharp, G. (1973). The Politics of Nonviolent Action. Porter Sargent.</w:t>
      </w:r>
    </w:p>
    <w:p>
      <w:pPr>
        <w:spacing w:line="300" w:lineRule="auto" w:after="120" w:before="0"/>
        <w:ind w:left="288" w:hanging="288"/>
        <w:jc w:val="right"/>
        <w:bidi w:val="1"/>
      </w:pPr>
      <w:r>
        <w:rPr>
          <w:rFonts w:ascii="Arial" w:hAnsi="Arial" w:eastAsia="Noto Naskh Arabic" w:cs="Noto Naskh Arabic"/>
          <w:sz w:val="20"/>
        </w:rPr>
        <w:t>Nepstad, S. E. (2011). Nonviolent Revolutions: Civil Resistance in the Late 20th Century. Oxford University Press.</w:t>
      </w:r>
    </w:p>
    <w:p>
      <w:pPr>
        <w:spacing w:line="300" w:lineRule="auto" w:after="120" w:before="0"/>
        <w:ind w:left="288" w:hanging="288"/>
        <w:jc w:val="right"/>
        <w:bidi w:val="1"/>
      </w:pPr>
      <w:r>
        <w:rPr>
          <w:rFonts w:ascii="Arial" w:hAnsi="Arial" w:eastAsia="Noto Naskh Arabic" w:cs="Noto Naskh Arabic"/>
          <w:sz w:val="20"/>
        </w:rPr>
        <w:t>Goldstone, J. A. (2014). Revolutions: A Very Short Introduction. Oxford University Press.</w:t>
      </w:r>
    </w:p>
    <w:p>
      <w:pPr>
        <w:spacing w:line="300" w:lineRule="auto" w:after="120" w:before="0"/>
        <w:ind w:left="288" w:hanging="288"/>
        <w:jc w:val="right"/>
        <w:bidi w:val="1"/>
      </w:pPr>
      <w:r>
        <w:rPr>
          <w:rFonts w:ascii="Arial" w:hAnsi="Arial" w:eastAsia="Noto Naskh Arabic" w:cs="Noto Naskh Arabic"/>
          <w:sz w:val="20"/>
        </w:rPr>
        <w:t>Kuran, T. (1991). Now out of Never: The Element of Surprise in the East European Revolution of 1989. World Politics, 44(1), 7-48.</w:t>
      </w:r>
    </w:p>
    <w:p>
      <w:pPr>
        <w:spacing w:line="300" w:lineRule="auto" w:after="120" w:before="0"/>
        <w:ind w:left="288" w:hanging="288"/>
        <w:jc w:val="right"/>
        <w:bidi w:val="1"/>
      </w:pPr>
      <w:r>
        <w:rPr>
          <w:rFonts w:ascii="Arial" w:hAnsi="Arial" w:eastAsia="Noto Naskh Arabic" w:cs="Noto Naskh Arabic"/>
          <w:sz w:val="20"/>
        </w:rPr>
        <w:t>Tilly, C. (2004). Social Movements, 1768-2004. Paradigm Publishers.</w:t>
      </w:r>
    </w:p>
    <w:p>
      <w:pPr>
        <w:spacing w:line="300" w:lineRule="auto" w:after="120" w:before="0"/>
        <w:ind w:left="288" w:hanging="288"/>
        <w:jc w:val="right"/>
        <w:bidi w:val="1"/>
      </w:pPr>
      <w:r>
        <w:rPr>
          <w:rFonts w:ascii="Arial" w:hAnsi="Arial" w:eastAsia="Noto Naskh Arabic" w:cs="Noto Naskh Arabic"/>
          <w:sz w:val="20"/>
        </w:rPr>
        <w:t>Levitsky, S., &amp; Way, L. A. (2010). Competitive Authoritarianism. Cambridge University Press.</w:t>
      </w:r>
    </w:p>
    <w:sectPr w:rsidR="00FC693F" w:rsidRPr="0006063C" w:rsidSect="00034616">
      <w:headerReference w:type="default" r:id="rId9"/>
      <w:footerReference w:type="default" r:id="rId10"/>
      <w:pgSz w:w="12240" w:h="15840"/>
      <w:pgMar w:top="1008"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00" w:lineRule="auto" w:after="120" w:before="0"/>
      <w:jc w:val="center"/>
      <w:bidi w:val="1"/>
    </w:pPr>
    <w:r>
      <w:rPr>
        <w:rFonts w:ascii="Arial" w:hAnsi="Arial" w:eastAsia="Noto Naskh Arabic" w:cs="Noto Naskh Arabic"/>
        <w:color w:val="646464"/>
        <w:sz w:val="18"/>
      </w:rPr>
      <w:t>Mr Peyman Bakhshayesh, MD, PhD, MBA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00" w:lineRule="auto" w:after="120" w:before="0"/>
      <w:jc w:val="center"/>
      <w:bidi w:val="1"/>
    </w:pPr>
    <w:r>
      <w:rPr>
        <w:rFonts w:ascii="Arial" w:hAnsi="Arial" w:eastAsia="Noto Naskh Arabic" w:cs="Noto Naskh Arabic"/>
        <w:color w:val="646464"/>
        <w:sz w:val="18"/>
      </w:rPr>
      <w:t>مقاله علمی ـ راهبردی | ۲۴ مه ۲۰۲۶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Naskh Arabic" w:hAnsi="Noto Naskh Arabic" w:cs="Noto Naskh Arabic" w:eastAsia="Noto Naskh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Naskh Arabic" w:hAnsi="Noto Naskh Arabic" w:cs="Noto Naskh Arabic" w:eastAsia="Noto Naskh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Naskh Arabic" w:hAnsi="Noto Naskh Arabic" w:cs="Noto Naskh Arabic" w:eastAsia="Noto Naskh Arab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راهبرد اپوزیسیون پس از سناریوی توافق آمریکا و جمهوری اسلامی - ۲۴ مه ۲۰۲۶</dc:title>
  <dc:subject>مقاله علمی راهبردی درباره مقاومت مدنی غیرخشونت‌آمیز، ائتلاف اپوزیسیون و گذار دموکراتیک در ایران</dc:subject>
  <dc:creator>OpenAI ChatGPT</dc:creator>
  <cp:keywords>Iran, civil resistance, nonviolent movement, Reza Pahlavi, transition, democracy</cp:keywords>
  <dc:description>generated by python-docx</dc:description>
  <cp:lastModifiedBy/>
  <cp:revision>1</cp:revision>
  <dcterms:created xsi:type="dcterms:W3CDTF">2013-12-23T23:15:00Z</dcterms:created>
  <dcterms:modified xsi:type="dcterms:W3CDTF">2013-12-23T23:15:00Z</dcterms:modified>
  <cp:category/>
</cp:coreProperties>
</file>