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360"/>
        <w:jc w:val="center"/>
      </w:pPr>
      <w:r>
        <w:rPr>
          <w:rFonts w:ascii="Noto Sans Arabic" w:hAnsi="Noto Sans Arabic" w:cs="Noto Sans Arabic" w:eastAsia="Noto Sans Arabic"/>
          <w:cs/>
          <w:b/>
          <w:color w:val="1F4E79"/>
          <w:sz w:val="48"/>
          <w:rtl w:val="1"/>
        </w:rPr>
        <w:t>از سرمایه اخلاقی تا قدرت سیاسی</w:t>
      </w:r>
    </w:p>
    <w:p>
      <w:pPr>
        <w:bidi w:val="1"/>
        <w:spacing w:before="0" w:after="240" w:line="300" w:lineRule="auto"/>
        <w:jc w:val="center"/>
      </w:pPr>
      <w:r>
        <w:rPr>
          <w:rFonts w:ascii="Noto Naskh Arabic" w:hAnsi="Noto Naskh Arabic" w:cs="Noto Naskh Arabic" w:eastAsia="Noto Naskh Arabic"/>
          <w:cs/>
          <w:b/>
          <w:i w:val="0"/>
          <w:sz w:val="32"/>
          <w:rtl w:val="1"/>
        </w:rPr>
        <w:t>چرا اپوزیسیون ایران با وجود عمق رنج ملی، هنوز نتوانسته است اجماع جهانی مؤثر بسازد؟</w:t>
      </w:r>
    </w:p>
    <w:p>
      <w:pPr>
        <w:bidi w:val="1"/>
        <w:spacing w:before="0" w:after="600" w:line="300" w:lineRule="auto"/>
        <w:jc w:val="center"/>
      </w:pPr>
      <w:r>
        <w:rPr>
          <w:rFonts w:ascii="Noto Naskh Arabic" w:hAnsi="Noto Naskh Arabic" w:cs="Noto Naskh Arabic" w:eastAsia="Noto Naskh Arabic"/>
          <w:cs/>
          <w:b w:val="0"/>
          <w:i w:val="0"/>
          <w:sz w:val="26"/>
          <w:rtl w:val="1"/>
        </w:rPr>
        <w:t>مقاله‌ای فلسفی، روان‌شناختی، سیاسی و تاریخی درباره شکست تبدیل اعتراض، شهادت، تبعید و حافظه تاریخی به ائتلاف عملی</w:t>
      </w:r>
    </w:p>
    <w:p>
      <w:pPr>
        <w:bidi w:val="1"/>
        <w:spacing w:before="0" w:after="120" w:line="300" w:lineRule="auto"/>
        <w:jc w:val="center"/>
      </w:pPr>
      <w:r>
        <w:rPr>
          <w:rFonts w:ascii="Noto Naskh Arabic" w:hAnsi="Noto Naskh Arabic" w:cs="Noto Naskh Arabic" w:eastAsia="Noto Naskh Arabic"/>
          <w:cs/>
          <w:b/>
          <w:i w:val="0"/>
          <w:sz w:val="22"/>
          <w:rtl w:val="1"/>
        </w:rPr>
        <w:t>تهیه‌شده بر اساس چارچوب تحلیلی و دغدغه‌های آقای دکتر/آقای Peyman Bakhshayesh</w:t>
      </w:r>
    </w:p>
    <w:p>
      <w:pPr>
        <w:bidi w:val="1"/>
        <w:spacing w:before="0" w:after="360" w:line="300" w:lineRule="auto"/>
        <w:jc w:val="center"/>
      </w:pPr>
      <w:r>
        <w:rPr>
          <w:rFonts w:ascii="Noto Naskh Arabic" w:hAnsi="Noto Naskh Arabic" w:cs="Noto Naskh Arabic" w:eastAsia="Noto Naskh Arabic"/>
          <w:cs/>
          <w:b w:val="0"/>
          <w:i w:val="0"/>
          <w:sz w:val="22"/>
          <w:rtl w:val="1"/>
        </w:rPr>
        <w:t>مه ۲۰۲۶</w:t>
      </w:r>
    </w:p>
    <w:p>
      <w:pPr>
        <w:bidi w:val="1"/>
        <w:spacing w:before="0" w:after="80" w:line="300" w:lineRule="auto"/>
        <w:jc w:val="right"/>
      </w:pPr>
      <w:r>
        <w:rPr>
          <w:rFonts w:ascii="Noto Naskh Arabic" w:hAnsi="Noto Naskh Arabic" w:cs="Noto Naskh Arabic" w:eastAsia="Noto Naskh Arabic"/>
          <w:cs/>
          <w:b w:val="0"/>
          <w:i/>
          <w:sz w:val="22"/>
          <w:rtl w:val="1"/>
        </w:rPr>
        <w:t>یادداشت روش‌شناختی: این متن از منظر حقوق بشر، سیاست تطبیقی و روان‌شناسی جمعی نوشته شده است. در مواردی که آمار رسمی معتبر وجود ندارد یا گزارش‌ها با هم اختلاف دارند، متن از تعبیر «برآورد»، «گزارش»، «ادعا» و «نیازمند حقیقت‌یابی مستقل» استفاده می‌کند تا از تبدیل سوگ ملی به عددسازی غیرقابل دفاع جلوگیری شود.</w:t>
      </w:r>
    </w:p>
    <w:p>
      <w:r>
        <w:br w:type="page"/>
      </w:r>
    </w:p>
    <w:p>
      <w:pPr>
        <w:bidi w:val="1"/>
        <w:spacing w:before="240" w:after="120"/>
        <w:jc w:val="right"/>
      </w:pPr>
      <w:r>
        <w:rPr>
          <w:rFonts w:ascii="Noto Sans Arabic" w:hAnsi="Noto Sans Arabic" w:cs="Noto Sans Arabic" w:eastAsia="Noto Sans Arabic"/>
          <w:cs/>
          <w:b/>
          <w:color w:val="1F4E79"/>
          <w:sz w:val="34"/>
          <w:rtl w:val="1"/>
        </w:rPr>
        <w:t>فهرست مطالب</w:t>
      </w:r>
    </w:p>
    <w:p>
      <w:pPr>
        <w:bidi w:val="1"/>
        <w:spacing w:before="0" w:after="40" w:line="300" w:lineRule="auto"/>
        <w:jc w:val="right"/>
      </w:pPr>
      <w:r>
        <w:rPr>
          <w:rFonts w:ascii="Noto Naskh Arabic" w:hAnsi="Noto Naskh Arabic" w:cs="Noto Naskh Arabic" w:eastAsia="Noto Naskh Arabic"/>
          <w:cs/>
          <w:b w:val="0"/>
          <w:i w:val="0"/>
          <w:sz w:val="23"/>
          <w:rtl w:val="1"/>
        </w:rPr>
        <w:t>1. چکیده اجرایی</w:t>
      </w:r>
    </w:p>
    <w:p>
      <w:pPr>
        <w:bidi w:val="1"/>
        <w:spacing w:before="0" w:after="40" w:line="300" w:lineRule="auto"/>
        <w:jc w:val="right"/>
      </w:pPr>
      <w:r>
        <w:rPr>
          <w:rFonts w:ascii="Noto Naskh Arabic" w:hAnsi="Noto Naskh Arabic" w:cs="Noto Naskh Arabic" w:eastAsia="Noto Naskh Arabic"/>
          <w:cs/>
          <w:b w:val="0"/>
          <w:i w:val="0"/>
          <w:sz w:val="23"/>
          <w:rtl w:val="1"/>
        </w:rPr>
        <w:t>2. طرح مسئله: پارادوکس ملت کهن و بن‌بست اجماع</w:t>
      </w:r>
    </w:p>
    <w:p>
      <w:pPr>
        <w:bidi w:val="1"/>
        <w:spacing w:before="0" w:after="40" w:line="300" w:lineRule="auto"/>
        <w:jc w:val="right"/>
      </w:pPr>
      <w:r>
        <w:rPr>
          <w:rFonts w:ascii="Noto Naskh Arabic" w:hAnsi="Noto Naskh Arabic" w:cs="Noto Naskh Arabic" w:eastAsia="Noto Naskh Arabic"/>
          <w:cs/>
          <w:b w:val="0"/>
          <w:i w:val="0"/>
          <w:sz w:val="23"/>
          <w:rtl w:val="1"/>
        </w:rPr>
        <w:t>3. از جنبش کارگری تا جنبش ملی: دو تجربه، دو آرمان‌گرایی، یک مانع مشترک</w:t>
      </w:r>
    </w:p>
    <w:p>
      <w:pPr>
        <w:bidi w:val="1"/>
        <w:spacing w:before="0" w:after="40" w:line="300" w:lineRule="auto"/>
        <w:jc w:val="right"/>
      </w:pPr>
      <w:r>
        <w:rPr>
          <w:rFonts w:ascii="Noto Naskh Arabic" w:hAnsi="Noto Naskh Arabic" w:cs="Noto Naskh Arabic" w:eastAsia="Noto Naskh Arabic"/>
          <w:cs/>
          <w:b w:val="0"/>
          <w:i w:val="0"/>
          <w:sz w:val="23"/>
          <w:rtl w:val="1"/>
        </w:rPr>
        <w:t>4. فلسفه شکست: وقتی حقیقت اخلاقی به قدرت سیاسی تبدیل نمی‌شود</w:t>
      </w:r>
    </w:p>
    <w:p>
      <w:pPr>
        <w:bidi w:val="1"/>
        <w:spacing w:before="0" w:after="40" w:line="300" w:lineRule="auto"/>
        <w:jc w:val="right"/>
      </w:pPr>
      <w:r>
        <w:rPr>
          <w:rFonts w:ascii="Noto Naskh Arabic" w:hAnsi="Noto Naskh Arabic" w:cs="Noto Naskh Arabic" w:eastAsia="Noto Naskh Arabic"/>
          <w:cs/>
          <w:b w:val="0"/>
          <w:i w:val="0"/>
          <w:sz w:val="23"/>
          <w:rtl w:val="1"/>
        </w:rPr>
        <w:t>5. روان‌شناسی جمعی تبعید: سوگ، خشم، خلوص‌گرایی و فرسایش سرمایه اجتماعی</w:t>
      </w:r>
    </w:p>
    <w:p>
      <w:pPr>
        <w:bidi w:val="1"/>
        <w:spacing w:before="0" w:after="40" w:line="300" w:lineRule="auto"/>
        <w:jc w:val="right"/>
      </w:pPr>
      <w:r>
        <w:rPr>
          <w:rFonts w:ascii="Noto Naskh Arabic" w:hAnsi="Noto Naskh Arabic" w:cs="Noto Naskh Arabic" w:eastAsia="Noto Naskh Arabic"/>
          <w:cs/>
          <w:b w:val="0"/>
          <w:i w:val="0"/>
          <w:sz w:val="23"/>
          <w:rtl w:val="1"/>
        </w:rPr>
        <w:t>6. تاریخ معاصر ایران: مسئله دولت، امنیت، مدرنیزاسیون و حافظه شکسته</w:t>
      </w:r>
    </w:p>
    <w:p>
      <w:pPr>
        <w:bidi w:val="1"/>
        <w:spacing w:before="0" w:after="40" w:line="300" w:lineRule="auto"/>
        <w:jc w:val="right"/>
      </w:pPr>
      <w:r>
        <w:rPr>
          <w:rFonts w:ascii="Noto Naskh Arabic" w:hAnsi="Noto Naskh Arabic" w:cs="Noto Naskh Arabic" w:eastAsia="Noto Naskh Arabic"/>
          <w:cs/>
          <w:b w:val="0"/>
          <w:i w:val="0"/>
          <w:sz w:val="23"/>
          <w:rtl w:val="1"/>
        </w:rPr>
        <w:t>7. ماشین عمل‌گرای جمهوری اسلامی: امنیتی‌سازی، پیمانکاری، سرکوب اطلاعات و مهندسی روایت</w:t>
      </w:r>
    </w:p>
    <w:p>
      <w:pPr>
        <w:bidi w:val="1"/>
        <w:spacing w:before="0" w:after="40" w:line="300" w:lineRule="auto"/>
        <w:jc w:val="right"/>
      </w:pPr>
      <w:r>
        <w:rPr>
          <w:rFonts w:ascii="Noto Naskh Arabic" w:hAnsi="Noto Naskh Arabic" w:cs="Noto Naskh Arabic" w:eastAsia="Noto Naskh Arabic"/>
          <w:cs/>
          <w:b w:val="0"/>
          <w:i w:val="0"/>
          <w:sz w:val="23"/>
          <w:rtl w:val="1"/>
        </w:rPr>
        <w:t>8. مسئله شاهزاده رضا پهلوی: سرمایه نمادین، خطر بت‌سازی و ضرورت نهادسازی</w:t>
      </w:r>
    </w:p>
    <w:p>
      <w:pPr>
        <w:bidi w:val="1"/>
        <w:spacing w:before="0" w:after="40" w:line="300" w:lineRule="auto"/>
        <w:jc w:val="right"/>
      </w:pPr>
      <w:r>
        <w:rPr>
          <w:rFonts w:ascii="Noto Naskh Arabic" w:hAnsi="Noto Naskh Arabic" w:cs="Noto Naskh Arabic" w:eastAsia="Noto Naskh Arabic"/>
          <w:cs/>
          <w:b w:val="0"/>
          <w:i w:val="0"/>
          <w:sz w:val="23"/>
          <w:rtl w:val="1"/>
        </w:rPr>
        <w:t>9. چرا رسانه و سیاست غربی هنوز دچار احتیاط، تردید یا سوءبرداشت است؟</w:t>
      </w:r>
    </w:p>
    <w:p>
      <w:pPr>
        <w:bidi w:val="1"/>
        <w:spacing w:before="0" w:after="40" w:line="300" w:lineRule="auto"/>
        <w:jc w:val="right"/>
      </w:pPr>
      <w:r>
        <w:rPr>
          <w:rFonts w:ascii="Noto Naskh Arabic" w:hAnsi="Noto Naskh Arabic" w:cs="Noto Naskh Arabic" w:eastAsia="Noto Naskh Arabic"/>
          <w:cs/>
          <w:b w:val="0"/>
          <w:i w:val="0"/>
          <w:sz w:val="23"/>
          <w:rtl w:val="1"/>
        </w:rPr>
        <w:t>10. از مطالبه حداکثری به ائتلاف حداقلی: چارچوب پیشنهادی برای اجماع جهانی</w:t>
      </w:r>
    </w:p>
    <w:p>
      <w:pPr>
        <w:bidi w:val="1"/>
        <w:spacing w:before="0" w:after="40" w:line="300" w:lineRule="auto"/>
        <w:jc w:val="right"/>
      </w:pPr>
      <w:r>
        <w:rPr>
          <w:rFonts w:ascii="Noto Naskh Arabic" w:hAnsi="Noto Naskh Arabic" w:cs="Noto Naskh Arabic" w:eastAsia="Noto Naskh Arabic"/>
          <w:cs/>
          <w:b w:val="0"/>
          <w:i w:val="0"/>
          <w:sz w:val="23"/>
          <w:rtl w:val="1"/>
        </w:rPr>
        <w:t>11. نتیجه‌گیری: ملی‌گرایی مدنی به جای نوستالژی، عمل‌گرایی اخلاقی به جای خلوص‌گرایی</w:t>
      </w:r>
    </w:p>
    <w:p>
      <w:pPr>
        <w:bidi w:val="1"/>
        <w:spacing w:before="0" w:after="40" w:line="300" w:lineRule="auto"/>
        <w:jc w:val="right"/>
      </w:pPr>
      <w:r>
        <w:rPr>
          <w:rFonts w:ascii="Noto Naskh Arabic" w:hAnsi="Noto Naskh Arabic" w:cs="Noto Naskh Arabic" w:eastAsia="Noto Naskh Arabic"/>
          <w:cs/>
          <w:b w:val="0"/>
          <w:i w:val="0"/>
          <w:sz w:val="23"/>
          <w:rtl w:val="1"/>
        </w:rPr>
        <w:t>12. منابع منتخب</w:t>
      </w:r>
    </w:p>
    <w:p>
      <w:r>
        <w:br w:type="page"/>
      </w:r>
    </w:p>
    <w:p>
      <w:pPr>
        <w:bidi w:val="1"/>
        <w:spacing w:before="240" w:after="120"/>
        <w:jc w:val="right"/>
      </w:pPr>
      <w:r>
        <w:rPr>
          <w:rFonts w:ascii="Noto Sans Arabic" w:hAnsi="Noto Sans Arabic" w:cs="Noto Sans Arabic" w:eastAsia="Noto Sans Arabic"/>
          <w:cs/>
          <w:b/>
          <w:color w:val="1F4E79"/>
          <w:sz w:val="34"/>
          <w:rtl w:val="1"/>
        </w:rPr>
        <w:t>۱. چکیده اجرایی</w:t>
      </w:r>
    </w:p>
    <w:p>
      <w:pPr>
        <w:bidi w:val="1"/>
        <w:spacing w:before="0" w:after="80" w:line="300" w:lineRule="auto"/>
        <w:jc w:val="right"/>
      </w:pPr>
      <w:r>
        <w:rPr>
          <w:rFonts w:ascii="Noto Naskh Arabic" w:hAnsi="Noto Naskh Arabic" w:cs="Noto Naskh Arabic" w:eastAsia="Noto Naskh Arabic"/>
          <w:cs/>
          <w:b w:val="0"/>
          <w:i w:val="0"/>
          <w:rtl w:val="1"/>
        </w:rPr>
        <w:t>پرسش مرکزی این مقاله ساده اما سنگین است: چگونه ممکن است ملتی با حافظه تمدنی چند هزار ساله، با جمعیت عظیم در داخل و چند میلیون ایرانی در خارج از کشور، با چنین حجم آشکاری از سرکوب، اعدام، زندان، تبعیض، تحقیر و سقوط اقتصادی، هنوز نتوانسته باشد یک اجماع جهانی پایدار برای دفاع از مردم ایران بسازد؟ پاسخ کوتاه این است که رنج تاریخی، به خودی خود، قدرت سیاسی تولید نمی‌کند. رنج باید به روایت قابل اعتماد، سازمان قابل اتکا، خواسته قابل فهم، و ائتلاف قابل تکرار تبدیل شود.</w:t>
      </w:r>
    </w:p>
    <w:p>
      <w:pPr>
        <w:bidi w:val="1"/>
        <w:spacing w:before="0" w:after="80" w:line="300" w:lineRule="auto"/>
        <w:jc w:val="right"/>
      </w:pPr>
      <w:r>
        <w:rPr>
          <w:rFonts w:ascii="Noto Naskh Arabic" w:hAnsi="Noto Naskh Arabic" w:cs="Noto Naskh Arabic" w:eastAsia="Noto Naskh Arabic"/>
          <w:cs/>
          <w:b w:val="0"/>
          <w:i w:val="0"/>
          <w:rtl w:val="1"/>
        </w:rPr>
        <w:t>اپوزیسیون ایران در چند دهه اخیر دو مسیر عمده را تجربه کرده است: نخست، مسیر جنبش کارگری و چپ حقوق‌بنیاد، که می‌خواست تضاد میان شعارهای عدالت‌طلبانه جمهوری اسلامی و واقعیت فرودستی کارگران را افشا کند؛ دوم، مسیر جنبش ملی و ایران‌گرا، که پس از خیزش‌های دهه اخیر و به‌ویژه پس از جنبش «زن، زندگی، آزادی»، فرصتی تاریخی برای تبدیل نماد ایران، پرچم، تاریخ پهلوی و رهبری شاهزاده رضا پهلوی به محور وحدت پیدا کرد. هر دو مسیر سرمایه واقعی داشتند؛ اما هر دو، در نقطه‌ای حساس، با آرمان‌گرایی، خلوص‌گرایی و ضعف نهادی آسیب دیدند.</w:t>
      </w:r>
    </w:p>
    <w:p>
      <w:pPr>
        <w:bidi w:val="1"/>
        <w:spacing w:before="0" w:after="80" w:line="300" w:lineRule="auto"/>
        <w:jc w:val="right"/>
      </w:pPr>
      <w:r>
        <w:rPr>
          <w:rFonts w:ascii="Noto Naskh Arabic" w:hAnsi="Noto Naskh Arabic" w:cs="Noto Naskh Arabic" w:eastAsia="Noto Naskh Arabic"/>
          <w:cs/>
          <w:b w:val="0"/>
          <w:i w:val="0"/>
          <w:rtl w:val="1"/>
        </w:rPr>
        <w:t>در مسیر کارگری، جمهوری اسلامی با امنیتی‌سازی تشکل‌ها، پیمانکاری‌کردن نیروی کار، سپردن بخش‌هایی از اقتصاد به ساختارهای امنیتی/نظامی، دستگیری فعالان، تبعید ناخواسته، فشار قضایی و فرسایش اجتماعی، امکان تبدیل نارضایتی صنفی به جنبش سیاسی سراسری را کاهش داد. گزارش‌های حقوق بشری درباره فشار بر معلمان، کارگران هفت‌تپه و فعالان صنفی، این روند را تأیید می‌کنند [4].</w:t>
      </w:r>
    </w:p>
    <w:p>
      <w:pPr>
        <w:bidi w:val="1"/>
        <w:spacing w:before="0" w:after="80" w:line="300" w:lineRule="auto"/>
        <w:jc w:val="right"/>
      </w:pPr>
      <w:r>
        <w:rPr>
          <w:rFonts w:ascii="Noto Naskh Arabic" w:hAnsi="Noto Naskh Arabic" w:cs="Noto Naskh Arabic" w:eastAsia="Noto Naskh Arabic"/>
          <w:cs/>
          <w:b w:val="0"/>
          <w:i w:val="0"/>
          <w:rtl w:val="1"/>
        </w:rPr>
        <w:t>در مسیر ملی، نیروی ایران‌گرایی و میل به عبور از اسلام‌گرایی سیاسی یک فرصت بزرگ ساخت؛ اما بخشی از بدنه حامی سلطنت، به جای ساختن یک ائتلاف مدنی آینده‌نگر، به دفاع بی‌مرز از گذشته، بت‌سازی از رهبر نمادین، تقدیس ساواک یا طرد همه منتقدان به عنوان «ضدملی» گرایش پیدا کرد. نتیجه آن شد که رسانه‌ها و نهادهای غربی، به جای دیدن یک جنبش مدنی برای آزادی، گاه با تصویری از ملی‌گرایی تهاجمی، نوستالژیک و انتقام‌جو مواجه شدند. این تصویر الزاماً منصفانه نیست، اما در سیاست بین‌الملل، تصویر نیز بخشی از واقعیت عملی است.</w:t>
      </w:r>
    </w:p>
    <w:p>
      <w:pPr>
        <w:bidi w:val="1"/>
        <w:spacing w:before="0" w:after="80" w:line="300" w:lineRule="auto"/>
        <w:jc w:val="right"/>
      </w:pPr>
      <w:r>
        <w:rPr>
          <w:rFonts w:ascii="Noto Naskh Arabic" w:hAnsi="Noto Naskh Arabic" w:cs="Noto Naskh Arabic" w:eastAsia="Noto Naskh Arabic"/>
          <w:cs/>
          <w:b w:val="0"/>
          <w:i w:val="0"/>
          <w:rtl w:val="1"/>
        </w:rPr>
        <w:t>نتیجه راهبردی مقاله این است: پیروزی نه از خلوص ایدئولوژیک، نه از پرستش شخصیت، نه از افتخار تاریخی به تنهایی، بلکه از «عمل‌گرایی اخلاقی» می‌آید؛ یعنی ترکیب شجاعت اخلاقی با زبان حقوقی، نهادسازی، انضباط پیام، ائتلاف حداقلی و توانایی ترجمه رنج ایرانیان به دستورکار قابل اقدام برای دولت‌ها، پارلمان‌ها، اتحادیه‌ها، دانشگاه‌ها، رسانه‌ها و افکار عمومی جهان.</w:t>
      </w:r>
    </w:p>
    <w:p>
      <w:pPr>
        <w:bidi w:val="1"/>
        <w:spacing w:before="240" w:after="120"/>
        <w:jc w:val="right"/>
      </w:pPr>
      <w:r>
        <w:rPr>
          <w:rFonts w:ascii="Noto Sans Arabic" w:hAnsi="Noto Sans Arabic" w:cs="Noto Sans Arabic" w:eastAsia="Noto Sans Arabic"/>
          <w:cs/>
          <w:b/>
          <w:color w:val="1F4E79"/>
          <w:sz w:val="34"/>
          <w:rtl w:val="1"/>
        </w:rPr>
        <w:t>۲. طرح مسئله: پارادوکس ملت کهن و بن‌بست اجماع</w:t>
      </w:r>
    </w:p>
    <w:p>
      <w:pPr>
        <w:bidi w:val="1"/>
        <w:spacing w:before="0" w:after="80" w:line="300" w:lineRule="auto"/>
        <w:jc w:val="right"/>
      </w:pPr>
      <w:r>
        <w:rPr>
          <w:rFonts w:ascii="Noto Naskh Arabic" w:hAnsi="Noto Naskh Arabic" w:cs="Noto Naskh Arabic" w:eastAsia="Noto Naskh Arabic"/>
          <w:cs/>
          <w:b w:val="0"/>
          <w:i w:val="0"/>
          <w:rtl w:val="1"/>
        </w:rPr>
        <w:t>ایران از نظر تاریخی، یکی از کهن‌ترین واحدهای تمدنی جهان است؛ اما در سیاست معاصر، قدمت تمدنی لزوماً به کارآمدی سازمان سیاسی تبدیل نمی‌شود. حافظه کوروش، فردوسی، مشروطه، ملی شدن نفت، مدرنیزاسیون پهلوی و مقاومت مدنی زنان، سرمایه‌های بزرگ نمادین‌اند؛ ولی سیاست جهانی با نماد تنها کار نمی‌کند. سیاست جهانی به «قابلیت اعتماد»، «پیوستگی پیام»، «شریک قابل گفت‌وگو»، «برنامه انتقال»، «ائتلاف اجتماعی قابل سنجش» و «هزینه‌فایده قابل فهم» واکنش نشان می‌دهد.</w:t>
      </w:r>
    </w:p>
    <w:p>
      <w:pPr>
        <w:bidi w:val="1"/>
        <w:spacing w:before="0" w:after="80" w:line="300" w:lineRule="auto"/>
        <w:jc w:val="right"/>
      </w:pPr>
      <w:r>
        <w:rPr>
          <w:rFonts w:ascii="Noto Naskh Arabic" w:hAnsi="Noto Naskh Arabic" w:cs="Noto Naskh Arabic" w:eastAsia="Noto Naskh Arabic"/>
          <w:cs/>
          <w:b w:val="0"/>
          <w:i w:val="0"/>
          <w:rtl w:val="1"/>
        </w:rPr>
        <w:t>مشکل اپوزیسیون ایران این نیست که درد ندارد؛ درد فراوان دارد. مشکل این نیست که حقیقت اخلاقی ندارد؛ حقیقت اخلاقی آن در برابر دستگاه اعدام، شکنجه، حجاب اجباری، تبعیض، سانسور و فساد آشکار است. مشکل اصلی این است که حقیقت اخلاقی هنوز به «قدرت سیاسی مؤثر» تبدیل نشده است. میان «حقانیت» و «توانمندی»، یک فاصله نهادی و روانی وجود دارد.</w:t>
      </w:r>
    </w:p>
    <w:p>
      <w:pPr>
        <w:bidi w:val="1"/>
        <w:spacing w:before="0" w:after="80" w:line="300" w:lineRule="auto"/>
        <w:jc w:val="right"/>
      </w:pPr>
      <w:r>
        <w:rPr>
          <w:rFonts w:ascii="Noto Naskh Arabic" w:hAnsi="Noto Naskh Arabic" w:cs="Noto Naskh Arabic" w:eastAsia="Noto Naskh Arabic"/>
          <w:cs/>
          <w:b w:val="0"/>
          <w:i w:val="0"/>
          <w:rtl w:val="1"/>
        </w:rPr>
        <w:t>جمهوری اسلامی، برخلاف ظاهر ایدئولوژیک خود، در بقا بسیار عمل‌گراست. در شعار ممکن است از امت، مستضعفان، عدالت و مقاومت سخن بگوید؛ اما در عمل، از پیمانکار، سپاه، دادگاه امنیتی، اختلال اینترنت، گروگان‌گیری دیپلماتیک، پرونده‌سازی، اعدام، جنگ روایت‌ها و شکاف‌های اپوزیسیون استفاده می‌کند. در مقابل، بخش‌هایی از اپوزیسیون گاه با حقیقت اخلاقی خود مست می‌شود و تصور می‌کند چون حق با اوست، جهان خودبه‌خود باید همراه شود.</w:t>
      </w:r>
    </w:p>
    <w:p>
      <w:pPr>
        <w:bidi w:val="1"/>
        <w:spacing w:before="0" w:after="80" w:line="300" w:lineRule="auto"/>
        <w:jc w:val="right"/>
      </w:pPr>
      <w:r>
        <w:rPr>
          <w:rFonts w:ascii="Noto Naskh Arabic" w:hAnsi="Noto Naskh Arabic" w:cs="Noto Naskh Arabic" w:eastAsia="Noto Naskh Arabic"/>
          <w:cs/>
          <w:b w:val="0"/>
          <w:i w:val="0"/>
          <w:rtl w:val="1"/>
        </w:rPr>
        <w:t>این همان نقطه تراژیک است: جمهوری اسلامی در ابزارها ماکیاولیستی و عمل‌گراست؛ اپوزیسیون، در بسیاری از مواقع، در زبان و هویت خود گرفتار آرمان‌گرایی و خلوص‌گرایی می‌ماند. نتیجه این عدم تقارن، تداوم یک رژیم فرسوده اما زنده در برابر یک جامعه زخمی اما پراکنده است.</w:t>
      </w:r>
    </w:p>
    <w:p>
      <w:pPr>
        <w:bidi w:val="1"/>
        <w:spacing w:before="240" w:after="120"/>
        <w:jc w:val="right"/>
      </w:pPr>
      <w:r>
        <w:rPr>
          <w:rFonts w:ascii="Noto Sans Arabic" w:hAnsi="Noto Sans Arabic" w:cs="Noto Sans Arabic" w:eastAsia="Noto Sans Arabic"/>
          <w:cs/>
          <w:b/>
          <w:color w:val="1F4E79"/>
          <w:sz w:val="34"/>
          <w:rtl w:val="1"/>
        </w:rPr>
        <w:t>۳. از جنبش کارگری تا جنبش ملی: دو تجربه، دو آرمان‌گرایی، یک مانع مشترک</w:t>
      </w:r>
    </w:p>
    <w:p>
      <w:pPr>
        <w:bidi w:val="1"/>
        <w:spacing w:before="0" w:after="80" w:line="300" w:lineRule="auto"/>
        <w:jc w:val="right"/>
      </w:pPr>
      <w:r>
        <w:rPr>
          <w:rFonts w:ascii="Noto Naskh Arabic" w:hAnsi="Noto Naskh Arabic" w:cs="Noto Naskh Arabic" w:eastAsia="Noto Naskh Arabic"/>
          <w:cs/>
          <w:b w:val="0"/>
          <w:i w:val="0"/>
          <w:rtl w:val="1"/>
        </w:rPr>
        <w:t>تجربه نخست، تجربه چپ کارگری و حقوق‌بنیاد بود. این تجربه بر یک مشاهده درست بنا شده بود: جمهوری اسلامی، با وجود شعارهای عدالت‌طلبانه و نام‌بردن دائمی از مستضعفان، ساختاری ساخته است که کارگر ایرانی را بی‌قدرت، بی‌تشکل، بی‌امنیت شغلی و در بسیاری موارد بی‌صدا می‌کند. اعتصابات، مطالبات مزدی، سندیکاها، معلمان، شرکت واحد، هفت‌تپه، فولاد اهواز، نفت، ایران‌خودرو و دیگر کانون‌های کارگری می‌توانستند به ستون فقرات یک جنبش اجتماعی تبدیل شوند.</w:t>
      </w:r>
    </w:p>
    <w:p>
      <w:pPr>
        <w:bidi w:val="1"/>
        <w:spacing w:before="0" w:after="80" w:line="300" w:lineRule="auto"/>
        <w:jc w:val="right"/>
      </w:pPr>
      <w:r>
        <w:rPr>
          <w:rFonts w:ascii="Noto Naskh Arabic" w:hAnsi="Noto Naskh Arabic" w:cs="Noto Naskh Arabic" w:eastAsia="Noto Naskh Arabic"/>
          <w:cs/>
          <w:b w:val="0"/>
          <w:i w:val="0"/>
          <w:rtl w:val="1"/>
        </w:rPr>
        <w:t>اما جمهوری اسلامی این خطر را فهمید. راهبرد آن تنها سرکوب مستقیم نبود. سرکوب مستقیم، اگر تنها ابزار باشد، می‌تواند همبستگی بسازد. رژیم با یک مجموعه ابزار هم‌زمان عمل کرد: خرد کردن قراردادها، پیمانکاری‌کردن رابطه کار، تبدیل مسئله صنفی به پرونده امنیتی، تهدید خانواده، اخراج، بازداشت، تبعید ناخواسته، نفوذ در تشکل‌ها، و قطع اتصال میان مطالبات کارگری و دانشگاهی. گزارش‌های حقوق بشری در سال‌های مختلف درباره بازداشت و فشار بر معلمان و فعالان کارگری، همین الگو را نشان می‌دهد [4].</w:t>
      </w:r>
    </w:p>
    <w:p>
      <w:pPr>
        <w:bidi w:val="1"/>
        <w:spacing w:before="0" w:after="80" w:line="300" w:lineRule="auto"/>
        <w:jc w:val="right"/>
      </w:pPr>
      <w:r>
        <w:rPr>
          <w:rFonts w:ascii="Noto Naskh Arabic" w:hAnsi="Noto Naskh Arabic" w:cs="Noto Naskh Arabic" w:eastAsia="Noto Naskh Arabic"/>
          <w:cs/>
          <w:b w:val="0"/>
          <w:i w:val="0"/>
          <w:rtl w:val="1"/>
        </w:rPr>
        <w:t>تجربه دوم، تجربه ملی و ایران‌گرا بود. این تجربه پس از فرسایش اسلام سیاسی، سقوط اخلاقی روایت جمهوری اسلامی و بازگشت نمادهای ملی در میان نسل‌های جوان تقویت شد. پرچم شیر و خورشید، نام ایران، خاطره مدرنیزاسیون پهلوی و چهره شاهزاده رضا پهلوی توانستند بخشی از جامعه را حول یک تصور مشترک از آینده غیرجمهوری‌اسلامی جمع کنند. در خارج از کشور نیز تجمعات بزرگ، از جمله گردهمایی‌های گسترده حامیان شاهزاده در مونیخ و شهرهای دیگر، نشان داد که سرمایه نمادین این جریان واقعی است [8].</w:t>
      </w:r>
    </w:p>
    <w:p>
      <w:pPr>
        <w:bidi w:val="1"/>
        <w:spacing w:before="0" w:after="80" w:line="300" w:lineRule="auto"/>
        <w:jc w:val="right"/>
      </w:pPr>
      <w:r>
        <w:rPr>
          <w:rFonts w:ascii="Noto Naskh Arabic" w:hAnsi="Noto Naskh Arabic" w:cs="Noto Naskh Arabic" w:eastAsia="Noto Naskh Arabic"/>
          <w:cs/>
          <w:b w:val="0"/>
          <w:i w:val="0"/>
          <w:rtl w:val="1"/>
        </w:rPr>
        <w:t>اما این مسیر نیز با یک خطر درونی مواجه شد: تبدیل «سرمایه نمادین» به «خلوص‌گرایی آیینی». اگر حمایت از شاهزاده به معنای حمایت از گذار، رأی مردم، قانون، دولت ملی و نجات ایران باشد، می‌تواند ائتلاف‌ساز باشد. اما اگر به پرستش شخصیت، نفی منتقد، تقدیس گذشته بدون نقد، یا دفاع بی‌قید از هر ابزار امنیتی تاریخی تبدیل شود، ائتلاف را کوچک می‌کند. جهان دموکراتیک با رهبر نمادین می‌تواند کار کند؛ با کیش شخصیت، نه.</w:t>
      </w:r>
    </w:p>
    <w:p>
      <w:pPr>
        <w:bidi w:val="1"/>
        <w:spacing w:before="0" w:after="80" w:line="300" w:lineRule="auto"/>
        <w:jc w:val="right"/>
      </w:pPr>
      <w:r>
        <w:rPr>
          <w:rFonts w:ascii="Noto Naskh Arabic" w:hAnsi="Noto Naskh Arabic" w:cs="Noto Naskh Arabic" w:eastAsia="Noto Naskh Arabic"/>
          <w:cs/>
          <w:b w:val="0"/>
          <w:i w:val="0"/>
          <w:rtl w:val="1"/>
        </w:rPr>
        <w:t>در هر دو تجربه، مانع مشترک این بود: ایده درست، به سازمان درست تبدیل نشد. کارگر، دانشجو، زن، معلم، پزشک، بازنشسته، تبعیدی و روشنفکر هرکدام قطعه‌ای از پازل بودند؛ اما پازل به نقشه عملیاتی تبدیل نشد.</w:t>
      </w:r>
    </w:p>
    <w:p>
      <w:pPr>
        <w:bidi w:val="1"/>
        <w:spacing w:before="240" w:after="120"/>
        <w:jc w:val="right"/>
      </w:pPr>
      <w:r>
        <w:rPr>
          <w:rFonts w:ascii="Noto Sans Arabic" w:hAnsi="Noto Sans Arabic" w:cs="Noto Sans Arabic" w:eastAsia="Noto Sans Arabic"/>
          <w:cs/>
          <w:b/>
          <w:color w:val="1F4E79"/>
          <w:sz w:val="34"/>
          <w:rtl w:val="1"/>
        </w:rPr>
        <w:t>۴. فلسفه شکست: وقتی حقیقت اخلاقی به قدرت سیاسی تبدیل نمی‌شود</w:t>
      </w:r>
    </w:p>
    <w:p>
      <w:pPr>
        <w:bidi w:val="1"/>
        <w:spacing w:before="0" w:after="80" w:line="300" w:lineRule="auto"/>
        <w:jc w:val="right"/>
      </w:pPr>
      <w:r>
        <w:rPr>
          <w:rFonts w:ascii="Noto Naskh Arabic" w:hAnsi="Noto Naskh Arabic" w:cs="Noto Naskh Arabic" w:eastAsia="Noto Naskh Arabic"/>
          <w:cs/>
          <w:b w:val="0"/>
          <w:i w:val="0"/>
          <w:rtl w:val="1"/>
        </w:rPr>
        <w:t>در فلسفه سیاست، میان «حق داشتن» و «قدرت داشتن» تفاوت بنیادی وجود دارد. یک ملت ممکن است قربانی باشد، حق با او باشد، تاریخ با او باشد، اما اگر نتواند خود را به زبان نهادهای قدرت ترجمه کند، در جهان سیاست شنیده نمی‌شود یا دیر شنیده می‌شود. تراژدی ایران امروز همین است: حقانیت اخلاقی عظیم، اما تبدیل‌ناشدن آن به قدرت جمعی.</w:t>
      </w:r>
    </w:p>
    <w:p>
      <w:pPr>
        <w:bidi w:val="1"/>
        <w:spacing w:before="0" w:after="80" w:line="300" w:lineRule="auto"/>
        <w:jc w:val="right"/>
      </w:pPr>
      <w:r>
        <w:rPr>
          <w:rFonts w:ascii="Noto Naskh Arabic" w:hAnsi="Noto Naskh Arabic" w:cs="Noto Naskh Arabic" w:eastAsia="Noto Naskh Arabic"/>
          <w:cs/>
          <w:b w:val="0"/>
          <w:i w:val="0"/>
          <w:rtl w:val="1"/>
        </w:rPr>
        <w:t>هانا آرنت میان قدرت و خشونت تمایز می‌گذاشت: خشونت می‌تواند اطاعت موقت تولید کند، اما قدرت از کنش جمعی و توافق بر سر عمل مشترک می‌آید. جمهوری اسلامی خشونت دارد؛ مردم ایران بالقوه قدرت دارند. اما این قدرت بالقوه، بدون سازمان، اعتماد، زبان مشترک و برنامه، پراکنده می‌ماند. خشونت سازمان‌یافته می‌تواند برای مدتی بر قدرت پراکنده غلبه کند.</w:t>
      </w:r>
    </w:p>
    <w:p>
      <w:pPr>
        <w:bidi w:val="1"/>
        <w:spacing w:before="0" w:after="80" w:line="300" w:lineRule="auto"/>
        <w:jc w:val="right"/>
      </w:pPr>
      <w:r>
        <w:rPr>
          <w:rFonts w:ascii="Noto Naskh Arabic" w:hAnsi="Noto Naskh Arabic" w:cs="Noto Naskh Arabic" w:eastAsia="Noto Naskh Arabic"/>
          <w:cs/>
          <w:b w:val="0"/>
          <w:i w:val="0"/>
          <w:rtl w:val="1"/>
        </w:rPr>
        <w:t>مسئله دیگر، شکاف میان اخلاق شهادت و سیاست نتیجه است. فرهنگ سیاسی ایران، به‌ویژه پس از انقلاب ۱۳۵۷ و جنگ، از شهادت، فداکاری و حقانیت اخلاقی اشباع شده است. اما سیاست دموکراتیک مدرن فقط با شهادت پیش نمی‌رود؛ با رأی، ائتلاف، قانون، کمیته، بودجه، رسانه، تیم حقوقی، ارتباط پارلمانی، شاخص، سند و پیگیری مداوم پیش می‌رود. اگر سوگ به سازمان تبدیل نشود، رژیم آن را یا سرکوب می‌کند یا مصادره یا فرسوده.</w:t>
      </w:r>
    </w:p>
    <w:p>
      <w:pPr>
        <w:bidi w:val="1"/>
        <w:spacing w:before="0" w:after="80" w:line="300" w:lineRule="auto"/>
        <w:jc w:val="right"/>
      </w:pPr>
      <w:r>
        <w:rPr>
          <w:rFonts w:ascii="Noto Naskh Arabic" w:hAnsi="Noto Naskh Arabic" w:cs="Noto Naskh Arabic" w:eastAsia="Noto Naskh Arabic"/>
          <w:cs/>
          <w:b w:val="0"/>
          <w:i w:val="0"/>
          <w:rtl w:val="1"/>
        </w:rPr>
        <w:t>از این منظر، پرسش اصلی این نیست که «چرا جهان درد ما را نمی‌فهمد؟» پرسش دقیق‌تر این است: «ما درد خود را به چه زبان نهادی، حقوقی و سیاسی ترجمه کرده‌ایم که جهان ناچار به پاسخ شود؟»</w:t>
      </w:r>
    </w:p>
    <w:p>
      <w:pPr>
        <w:bidi w:val="1"/>
        <w:spacing w:before="240" w:after="120"/>
        <w:jc w:val="right"/>
      </w:pPr>
      <w:r>
        <w:rPr>
          <w:rFonts w:ascii="Noto Sans Arabic" w:hAnsi="Noto Sans Arabic" w:cs="Noto Sans Arabic" w:eastAsia="Noto Sans Arabic"/>
          <w:cs/>
          <w:b/>
          <w:color w:val="1F4E79"/>
          <w:sz w:val="34"/>
          <w:rtl w:val="1"/>
        </w:rPr>
        <w:t>۵. روان‌شناسی جمعی تبعید: سوگ، خشم، خلوص‌گرایی و فرسایش سرمایه اجتماعی</w:t>
      </w:r>
    </w:p>
    <w:p>
      <w:pPr>
        <w:bidi w:val="1"/>
        <w:spacing w:before="0" w:after="80" w:line="300" w:lineRule="auto"/>
        <w:jc w:val="right"/>
      </w:pPr>
      <w:r>
        <w:rPr>
          <w:rFonts w:ascii="Noto Naskh Arabic" w:hAnsi="Noto Naskh Arabic" w:cs="Noto Naskh Arabic" w:eastAsia="Noto Naskh Arabic"/>
          <w:cs/>
          <w:b w:val="0"/>
          <w:i w:val="0"/>
          <w:rtl w:val="1"/>
        </w:rPr>
        <w:t>تبعید فقط جابه‌جایی جغرافیایی نیست؛ تبعید نوعی وضعیت روانی است. فرد تبعیدی هم‌زمان در دو جهان زندگی می‌کند: جهان واقعی کشور میزبان و جهان عاطفی وطن از دست‌رفته. این وضعیت اگر به بلوغ سیاسی برسد، می‌تواند شبکه جهانی بسازد؛ اما اگر در سوگ منجمد شود، به خشم، تحقیر متقابل و جست‌وجوی مقصر داخلی تبدیل می‌شود.</w:t>
      </w:r>
    </w:p>
    <w:p>
      <w:pPr>
        <w:bidi w:val="1"/>
        <w:spacing w:before="0" w:after="80" w:line="300" w:lineRule="auto"/>
        <w:jc w:val="right"/>
      </w:pPr>
      <w:r>
        <w:rPr>
          <w:rFonts w:ascii="Noto Naskh Arabic" w:hAnsi="Noto Naskh Arabic" w:cs="Noto Naskh Arabic" w:eastAsia="Noto Naskh Arabic"/>
          <w:cs/>
          <w:b w:val="0"/>
          <w:i w:val="0"/>
          <w:rtl w:val="1"/>
        </w:rPr>
        <w:t>جامعه ایرانی خارج از کشور، به‌جای آنکه فقط یک «منبع فشار بین‌المللی» باشد، گاه به میدان جنگ‌های کوچک هویتی تبدیل شده است: سلطنت‌طلب علیه جمهوری‌خواه، چپ علیه راست، مذهبی علیه سکولار، قوم‌گرا علیه ملی‌گرا، نسل قدیم علیه نسل جدید، و حتی حامیان یک جریان علیه حامیان همان جریان. رژیم از این شکاف‌ها سود می‌برد؛ زیرا برای خنثی‌کردن یک اپوزیسیون، همیشه لازم نیست همه آن را سرکوب کرد؛ کافی است آن را نسبت به خودش بی‌اعتماد کرد.</w:t>
      </w:r>
    </w:p>
    <w:p>
      <w:pPr>
        <w:bidi w:val="1"/>
        <w:spacing w:before="0" w:after="80" w:line="300" w:lineRule="auto"/>
        <w:jc w:val="right"/>
      </w:pPr>
      <w:r>
        <w:rPr>
          <w:rFonts w:ascii="Noto Naskh Arabic" w:hAnsi="Noto Naskh Arabic" w:cs="Noto Naskh Arabic" w:eastAsia="Noto Naskh Arabic"/>
          <w:cs/>
          <w:b w:val="0"/>
          <w:i w:val="0"/>
          <w:rtl w:val="1"/>
        </w:rPr>
        <w:t>خلوص‌گرایی در روان‌شناسی سیاسی، معمولاً زمانی شدت می‌گیرد که گروه احساس شکست و بی‌قدرتی می‌کند. وقتی پیروزی دور می‌شود، افراد به جای پرسش از کارآمدی راهبرد، به پرسش از پاکی افراد می‌رسند: چه کسی از اول سلطنت‌طلب بود؟ چه کسی قبلاً چپ بود؟ چه کسی در گذشته اشتباه کرد؟ چه کسی به اندازه کافی شاهزاده را دوست دارد؟ چه کسی پرچم درست را بالا برد؟ این پرسش‌ها از نظر هویتی قابل فهم‌اند، اما از نظر راهبردی می‌توانند فلج‌کننده باشند.</w:t>
      </w:r>
    </w:p>
    <w:p>
      <w:pPr>
        <w:bidi w:val="1"/>
        <w:spacing w:before="0" w:after="80" w:line="300" w:lineRule="auto"/>
        <w:jc w:val="right"/>
      </w:pPr>
      <w:r>
        <w:rPr>
          <w:rFonts w:ascii="Noto Naskh Arabic" w:hAnsi="Noto Naskh Arabic" w:cs="Noto Naskh Arabic" w:eastAsia="Noto Naskh Arabic"/>
          <w:cs/>
          <w:b w:val="0"/>
          <w:i w:val="0"/>
          <w:rtl w:val="1"/>
        </w:rPr>
        <w:t>ملت‌ها با انسان‌های بی‌خطا آزاد نمی‌شوند؛ با ائتلاف انسان‌های خطاکار اما آماده همکاری آزاد می‌شوند. اگر شرط مشارکت در نجات ایران این باشد که هر فرد از رحم مادر با هویت سیاسی امروز خود متولد شده باشد، هیچ ائتلافی ساخته نمی‌شود. سیاست ملی باید امکان توبه، تحول، یادگیری و بازگشت به منافع ملی را به رسمیت بشناسد.</w:t>
      </w:r>
    </w:p>
    <w:p>
      <w:pPr>
        <w:bidi w:val="1"/>
        <w:spacing w:before="240" w:after="120"/>
        <w:jc w:val="right"/>
      </w:pPr>
      <w:r>
        <w:rPr>
          <w:rFonts w:ascii="Noto Sans Arabic" w:hAnsi="Noto Sans Arabic" w:cs="Noto Sans Arabic" w:eastAsia="Noto Sans Arabic"/>
          <w:cs/>
          <w:b/>
          <w:color w:val="1F4E79"/>
          <w:sz w:val="34"/>
          <w:rtl w:val="1"/>
        </w:rPr>
        <w:t>۶. تاریخ معاصر ایران: مسئله دولت، امنیت، مدرنیزاسیون و حافظه شکسته</w:t>
      </w:r>
    </w:p>
    <w:p>
      <w:pPr>
        <w:bidi w:val="1"/>
        <w:spacing w:before="0" w:after="80" w:line="300" w:lineRule="auto"/>
        <w:jc w:val="right"/>
      </w:pPr>
      <w:r>
        <w:rPr>
          <w:rFonts w:ascii="Noto Naskh Arabic" w:hAnsi="Noto Naskh Arabic" w:cs="Noto Naskh Arabic" w:eastAsia="Noto Naskh Arabic"/>
          <w:cs/>
          <w:b w:val="0"/>
          <w:i w:val="0"/>
          <w:rtl w:val="1"/>
        </w:rPr>
        <w:t>تاریخ معاصر ایران بدون فهم مسئله دولت قابل تحلیل نیست. ایران در قرن بیستم میان چند نیروی بزرگ گرفتار بود: فشار امپراتوری‌ها، نفوذ شوروی، ضعف نهادهای مشروطه، مسئله نفت، رشد اسلام سیاسی، قدرت حزب توده، پروژه مدرنیزاسیون پهلوی، و نهایتاً انقلاب ۱۳۵۷. هر روایتی که یکی از این عناصر را حذف کند، ناقص می‌شود.</w:t>
      </w:r>
    </w:p>
    <w:p>
      <w:pPr>
        <w:bidi w:val="1"/>
        <w:spacing w:before="0" w:after="80" w:line="300" w:lineRule="auto"/>
        <w:jc w:val="right"/>
      </w:pPr>
      <w:r>
        <w:rPr>
          <w:rFonts w:ascii="Noto Naskh Arabic" w:hAnsi="Noto Naskh Arabic" w:cs="Noto Naskh Arabic" w:eastAsia="Noto Naskh Arabic"/>
          <w:cs/>
          <w:b w:val="0"/>
          <w:i w:val="0"/>
          <w:rtl w:val="1"/>
        </w:rPr>
        <w:t>دفاع از دستاوردهای دوره پهلوی، از آموزش و بهداشت و زیرساخت تا شکل‌گیری دولت مدرن و موقعیت ژئوپلیتیک ایران، می‌تواند بخشی از بازسازی اعتماد ملی باشد. اما دفاع از دستاوردها با تقدیس کامل گذشته یکی نیست. جامعه دموکراتیک آینده نیاز دارد بتواند هم دستاورد مدرنیزاسیون را ببیند، هم محدودیت‌های سیاسی و امنیتی آن دوره را نقد کند. جهان غرب نیز دقیقاً به این تمایز حساس است: آیا اپوزیسیون ایران می‌خواهد آینده‌ای دموکراتیک بسازد یا گذشته‌ای بی‌نقد را بازسازی کند؟</w:t>
      </w:r>
    </w:p>
    <w:p>
      <w:pPr>
        <w:bidi w:val="1"/>
        <w:spacing w:before="0" w:after="80" w:line="300" w:lineRule="auto"/>
        <w:jc w:val="right"/>
      </w:pPr>
      <w:r>
        <w:rPr>
          <w:rFonts w:ascii="Noto Naskh Arabic" w:hAnsi="Noto Naskh Arabic" w:cs="Noto Naskh Arabic" w:eastAsia="Noto Naskh Arabic"/>
          <w:cs/>
          <w:b w:val="0"/>
          <w:i w:val="0"/>
          <w:rtl w:val="1"/>
        </w:rPr>
        <w:t>جمهوری اسلامی از همین نقطه سوءاستفاده می‌کند. هر زمان اپوزیسیون به دفاع غیرانتقادی از ابزارهای امنیتی گذشته می‌رسد، رژیم تلاش می‌کند همه پروژه ملی را به عنوان بازگشت استبداد معرفی کند. پاسخ درست، انکار تاریخ نیست؛ پاسخ درست، تفکیک روشن میان «پهلوی به عنوان تجربه دولت‌سازی و مدرنیزاسیون» و «آینده ایران به عنوان نظام حقوقی مبتنی بر رأی، قانون و آزادی‌های بنیادین» است.</w:t>
      </w:r>
    </w:p>
    <w:p>
      <w:pPr>
        <w:bidi w:val="1"/>
        <w:spacing w:before="0" w:after="80" w:line="300" w:lineRule="auto"/>
        <w:jc w:val="right"/>
      </w:pPr>
      <w:r>
        <w:rPr>
          <w:rFonts w:ascii="Noto Naskh Arabic" w:hAnsi="Noto Naskh Arabic" w:cs="Noto Naskh Arabic" w:eastAsia="Noto Naskh Arabic"/>
          <w:cs/>
          <w:b w:val="0"/>
          <w:i w:val="0"/>
          <w:rtl w:val="1"/>
        </w:rPr>
        <w:t>ملی‌گرایی آینده‌ساز باید ملی‌گرایی مدنی باشد: ایران برای همه شهروندان، با هر قومیت، زبان، مذهب، جنسیت، پیشینه سیاسی و گرایش فکری، به شرط پذیرش تمامیت ارضی، حقوق برابر، حکومت قانون و رأی آزاد. این ملی‌گرایی، هم از تجزیه‌طلبی عبور می‌کند، هم از شوونیسم، هم از اسلام‌گرایی، هم از چپ‌گرایی ضدملی، و هم از نوستالژی کور.</w:t>
      </w:r>
    </w:p>
    <w:p>
      <w:pPr>
        <w:bidi w:val="1"/>
        <w:spacing w:before="240" w:after="120"/>
        <w:jc w:val="right"/>
      </w:pPr>
      <w:r>
        <w:rPr>
          <w:rFonts w:ascii="Noto Sans Arabic" w:hAnsi="Noto Sans Arabic" w:cs="Noto Sans Arabic" w:eastAsia="Noto Sans Arabic"/>
          <w:cs/>
          <w:b/>
          <w:color w:val="1F4E79"/>
          <w:sz w:val="34"/>
          <w:rtl w:val="1"/>
        </w:rPr>
        <w:t>۷. ماشین عمل‌گرای جمهوری اسلامی: امنیتی‌سازی، پیمانکاری، سرکوب اطلاعات و مهندسی روایت</w:t>
      </w:r>
    </w:p>
    <w:p>
      <w:pPr>
        <w:bidi w:val="1"/>
        <w:spacing w:before="0" w:after="80" w:line="300" w:lineRule="auto"/>
        <w:jc w:val="right"/>
      </w:pPr>
      <w:r>
        <w:rPr>
          <w:rFonts w:ascii="Noto Naskh Arabic" w:hAnsi="Noto Naskh Arabic" w:cs="Noto Naskh Arabic" w:eastAsia="Noto Naskh Arabic"/>
          <w:cs/>
          <w:b w:val="0"/>
          <w:i w:val="0"/>
          <w:rtl w:val="1"/>
        </w:rPr>
        <w:t>قدرت جمهوری اسلامی فقط در باتوم و گلوله نیست؛ در ترکیب پیچیده‌ای از ابزارهاست. نخست، امنیتی‌سازی: هر مطالبه‌ای، از حقوق کارگر تا حقوق زن، از اعتراض دانشجو تا درمان بیمار، می‌تواند ذیل امنیت ملی قرار گیرد. دوم، تکه‌تکه‌سازی: جامعه به واحدهای کوچک‌تر تقسیم می‌شود تا نتواند ائتلاف بسازد. سوم، قطع ارتباط: اینترنت، رسانه و پیام‌رسان‌ها کنترل می‌شوند تا درد به تصویر جهانی تبدیل نشود. گزارش Freedom House، فضای آنلاین ایران را در میان سرکوبگرترین محیط‌های جهان توصیف کرده و به سانسور، نظارت، دستکاری محتوا و آزار فراحقوقی کاربران اشاره دارد [5].</w:t>
      </w:r>
    </w:p>
    <w:p>
      <w:pPr>
        <w:bidi w:val="1"/>
        <w:spacing w:before="0" w:after="80" w:line="300" w:lineRule="auto"/>
        <w:jc w:val="right"/>
      </w:pPr>
      <w:r>
        <w:rPr>
          <w:rFonts w:ascii="Noto Naskh Arabic" w:hAnsi="Noto Naskh Arabic" w:cs="Noto Naskh Arabic" w:eastAsia="Noto Naskh Arabic"/>
          <w:cs/>
          <w:b w:val="0"/>
          <w:i w:val="0"/>
          <w:rtl w:val="1"/>
        </w:rPr>
        <w:t>چهارم، مهندسی روایت: رژیم می‌کوشد هر اعتراض را خارجی، تجزیه‌طلب، سلطنت‌طلب افراطی، تروریستی یا بی‌ثبات‌کننده معرفی کند. پنجم، هزینه‌سازی برای خارج از کشور: طبق گزارش دولت بریتانیا درباره فعالیت‌های آنلاین و «sur place»، مقامات اطلاعاتی ایران مخالفان برجسته خارج از کشور، از جمله در بریتانیا و دیگر کشورهای غربی، را رصد و هدف قرار می‌دهند [7]. این یعنی تبعید نیز برای ایرانیان الزاماً امنیت کامل نمی‌آورد.</w:t>
      </w:r>
    </w:p>
    <w:p>
      <w:pPr>
        <w:bidi w:val="1"/>
        <w:spacing w:before="0" w:after="80" w:line="300" w:lineRule="auto"/>
        <w:jc w:val="right"/>
      </w:pPr>
      <w:r>
        <w:rPr>
          <w:rFonts w:ascii="Noto Naskh Arabic" w:hAnsi="Noto Naskh Arabic" w:cs="Noto Naskh Arabic" w:eastAsia="Noto Naskh Arabic"/>
          <w:cs/>
          <w:b w:val="0"/>
          <w:i w:val="0"/>
          <w:rtl w:val="1"/>
        </w:rPr>
        <w:t>ششم، اعدام و ارعاب: افزایش اعدام‌ها یکی از ابزارهای بازتولید ترس است. Amnesty International اعلام کرده بود که مقام‌های ایران در سال ۲۰۲۵ بیش از هزار نفر را اعدام کرده‌اند و آن را بالاترین رقم ثبت‌شده توسط این سازمان در دست‌کم پانزده سال دانستند [3]. این عدد فقط یک شاخص حقوق بشری نیست؛ یک پیام سیاسی است: رژیم می‌خواهد جامعه بداند که هزینه کنش جمعی می‌تواند مرگ باشد.</w:t>
      </w:r>
    </w:p>
    <w:p>
      <w:pPr>
        <w:bidi w:val="1"/>
        <w:spacing w:before="0" w:after="80" w:line="300" w:lineRule="auto"/>
        <w:jc w:val="right"/>
      </w:pPr>
      <w:r>
        <w:rPr>
          <w:rFonts w:ascii="Noto Naskh Arabic" w:hAnsi="Noto Naskh Arabic" w:cs="Noto Naskh Arabic" w:eastAsia="Noto Naskh Arabic"/>
          <w:cs/>
          <w:b w:val="0"/>
          <w:i w:val="0"/>
          <w:rtl w:val="1"/>
        </w:rPr>
        <w:t>هفتم، کنترل رسانه و کمبود اطلاعات: RSF ایران را از سرکوبگرترین کشورها برای آزادی رسانه می‌داند و از تشدید سرکوب و خاموشی رسانه‌ای پس از اعتراضات سخن گفته است [6]. وقتی روایت مستقل تولید نشود، روایت رژیم، روایت رقبای منطقه‌ای، روایت رسانه‌های خارجی یا روایت گروه‌های افراطی جای آن را می‌گیرد.</w:t>
      </w:r>
    </w:p>
    <w:p>
      <w:pPr>
        <w:bidi w:val="1"/>
        <w:spacing w:before="240" w:after="120"/>
        <w:jc w:val="right"/>
      </w:pPr>
      <w:r>
        <w:rPr>
          <w:rFonts w:ascii="Noto Sans Arabic" w:hAnsi="Noto Sans Arabic" w:cs="Noto Sans Arabic" w:eastAsia="Noto Sans Arabic"/>
          <w:cs/>
          <w:b/>
          <w:color w:val="1F4E79"/>
          <w:sz w:val="34"/>
          <w:rtl w:val="1"/>
        </w:rPr>
        <w:t>۸. مسئله شاهزاده رضا پهلوی: سرمایه نمادین، خطر بت‌سازی و ضرورت نهادسازی</w:t>
      </w:r>
    </w:p>
    <w:p>
      <w:pPr>
        <w:bidi w:val="1"/>
        <w:spacing w:before="0" w:after="80" w:line="300" w:lineRule="auto"/>
        <w:jc w:val="right"/>
      </w:pPr>
      <w:r>
        <w:rPr>
          <w:rFonts w:ascii="Noto Naskh Arabic" w:hAnsi="Noto Naskh Arabic" w:cs="Noto Naskh Arabic" w:eastAsia="Noto Naskh Arabic"/>
          <w:cs/>
          <w:b w:val="0"/>
          <w:i w:val="0"/>
          <w:rtl w:val="1"/>
        </w:rPr>
        <w:t>شاهزاده رضا پهلوی، برای بخش مهمی از ایرانیان، یک سرمایه نمادین است: پیوند با دولت مدرن پیش از انقلاب، پرچم تاریخی، ایده ایران‌گرایی، و امکان گذار از جمهوری اسلامی به نظم سیاسی مبتنی بر رأی مردم. این سرمایه واقعی است و نباید آن را انکار کرد. تجمعات گسترده حامیان او در خارج از کشور، از جمله گزارش AP درباره حضور حدود ۲۵۰ هزار نفر در مونیخ، نشان می‌دهد که این نماد ظرفیت بسیج دارد [8].</w:t>
      </w:r>
    </w:p>
    <w:p>
      <w:pPr>
        <w:bidi w:val="1"/>
        <w:spacing w:before="0" w:after="80" w:line="300" w:lineRule="auto"/>
        <w:jc w:val="right"/>
      </w:pPr>
      <w:r>
        <w:rPr>
          <w:rFonts w:ascii="Noto Naskh Arabic" w:hAnsi="Noto Naskh Arabic" w:cs="Noto Naskh Arabic" w:eastAsia="Noto Naskh Arabic"/>
          <w:cs/>
          <w:b w:val="0"/>
          <w:i w:val="0"/>
          <w:rtl w:val="1"/>
        </w:rPr>
        <w:t>اما هر سرمایه نمادین، اگر به نهاد تبدیل نشود، یا فرسوده می‌شود یا علیه خود عمل می‌کند. رهبر نمادین باید به جای آنکه موضوع پرستش باشد، محور قرارداد سیاسی شود. سؤال جهان از شاهزاده و حامیان او این نیست که چقدر محبوب‌اند؛ سؤال این است که چه سازوکاری برای گذار، تضمین حقوق مخالفان، انتخابات آزاد، عدم انتقام، کنترل نیروهای امنیتی، عدالت انتقالی، حفظ تمامیت ارضی و جلوگیری از هرج‌ومرج دارند.</w:t>
      </w:r>
    </w:p>
    <w:p>
      <w:pPr>
        <w:bidi w:val="1"/>
        <w:spacing w:before="0" w:after="80" w:line="300" w:lineRule="auto"/>
        <w:jc w:val="right"/>
      </w:pPr>
      <w:r>
        <w:rPr>
          <w:rFonts w:ascii="Noto Naskh Arabic" w:hAnsi="Noto Naskh Arabic" w:cs="Noto Naskh Arabic" w:eastAsia="Noto Naskh Arabic"/>
          <w:cs/>
          <w:b w:val="0"/>
          <w:i w:val="0"/>
          <w:rtl w:val="1"/>
        </w:rPr>
        <w:t>بت‌سازی از شاهزاده، به نفع شاهزاده نیست؛ به ضرر اوست. هرچه رهبر نمادین انسانی‌تر، پاسخگوتر، قانون‌پذیرتر و نهادمندتر معرفی شود، برای جهان دموکراتیک قابل قبول‌تر می‌شود. هرچه او به جای «رهبر مطلق» به عنوان «ضامن گذار و نماد وحدت ملی تا رأی مردم» تعریف شود، ظرفیت ائتلافی او افزایش می‌یابد.</w:t>
      </w:r>
    </w:p>
    <w:p>
      <w:pPr>
        <w:bidi w:val="1"/>
        <w:spacing w:before="0" w:after="80" w:line="300" w:lineRule="auto"/>
        <w:jc w:val="right"/>
      </w:pPr>
      <w:r>
        <w:rPr>
          <w:rFonts w:ascii="Noto Naskh Arabic" w:hAnsi="Noto Naskh Arabic" w:cs="Noto Naskh Arabic" w:eastAsia="Noto Naskh Arabic"/>
          <w:cs/>
          <w:b w:val="0"/>
          <w:i w:val="0"/>
          <w:rtl w:val="1"/>
        </w:rPr>
        <w:t>دفاع از میراث پهلوی نیز باید آینده‌نگر باشد. میراث محمدرضا شاه و رضاشاه را می‌توان در چارچوب دولت‌سازی، مدرنیزاسیون، آموزش، ارتش ملی، هویت ایرانی و توسعه زیرساخت فهمید. اما دفاع از ساواک یا نفی کامل نقد تاریخی، برای مخاطب غربی زنگ خطر است؛ حتی اگر نیت حامیان، دفاع از کشور در برابر کمونیسم و اسلام‌گرایی باشد. زبان درست این است: «ما از دستاوردهای دولت‌سازی پهلوی می‌آموزیم، اما آینده ایران باید بر حقوق شهروندی، تفکیک قوا، آزادی احزاب، رسانه آزاد و قضاوت مستقل بنا شود.»</w:t>
      </w:r>
    </w:p>
    <w:p>
      <w:pPr>
        <w:bidi w:val="1"/>
        <w:spacing w:before="240" w:after="120"/>
        <w:jc w:val="right"/>
      </w:pPr>
      <w:r>
        <w:rPr>
          <w:rFonts w:ascii="Noto Sans Arabic" w:hAnsi="Noto Sans Arabic" w:cs="Noto Sans Arabic" w:eastAsia="Noto Sans Arabic"/>
          <w:cs/>
          <w:b/>
          <w:color w:val="1F4E79"/>
          <w:sz w:val="34"/>
          <w:rtl w:val="1"/>
        </w:rPr>
        <w:t>۹. چرا رسانه و سیاست غربی هنوز دچار احتیاط، تردید یا سوءبرداشت است؟</w:t>
      </w:r>
    </w:p>
    <w:p>
      <w:pPr>
        <w:bidi w:val="1"/>
        <w:spacing w:before="0" w:after="80" w:line="300" w:lineRule="auto"/>
        <w:jc w:val="right"/>
      </w:pPr>
      <w:r>
        <w:rPr>
          <w:rFonts w:ascii="Noto Naskh Arabic" w:hAnsi="Noto Naskh Arabic" w:cs="Noto Naskh Arabic" w:eastAsia="Noto Naskh Arabic"/>
          <w:cs/>
          <w:b w:val="0"/>
          <w:i w:val="0"/>
          <w:rtl w:val="1"/>
        </w:rPr>
        <w:t>در نگاه نخست، بی‌عدالتی آشکار است: رژیمی که سرکوب می‌کند، اعدام می‌کند، زندانی سیاسی دارد، اینترنت را محدود می‌کند و گروه‌های نیابتی را به ابزار سیاست منطقه‌ای تبدیل کرده، هنوز در بخشی از فضای روشنفکری و رسانه‌ای غرب با احتیاط یا حتی توجیه مواجه می‌شود؛ در حالی که بخشی از اپوزیسیون ایران، که غرب‌گرا، سکولار، مدرن و حامی تمدن لیبرال است، گاه با سوءظن دیده می‌شود.</w:t>
      </w:r>
    </w:p>
    <w:p>
      <w:pPr>
        <w:bidi w:val="1"/>
        <w:spacing w:before="0" w:after="80" w:line="300" w:lineRule="auto"/>
        <w:jc w:val="right"/>
      </w:pPr>
      <w:r>
        <w:rPr>
          <w:rFonts w:ascii="Noto Naskh Arabic" w:hAnsi="Noto Naskh Arabic" w:cs="Noto Naskh Arabic" w:eastAsia="Noto Naskh Arabic"/>
          <w:cs/>
          <w:b w:val="0"/>
          <w:i w:val="0"/>
          <w:rtl w:val="1"/>
        </w:rPr>
        <w:t>این وضعیت چند علت دارد. نخست، حافظه مداخله‌گری غرب در خاورمیانه: عراق، افغانستان، لیبی و سوریه باعث شده بسیاری از سیاستمداران و روزنامه‌نگاران غربی نسبت به هر پروژه تغییر رژیم محتاط باشند. دوم، هراس از بی‌ثباتی: دولت‌ها می‌پرسند پس از سقوط چه می‌شود؟ ارتش چه می‌کند؟ مرزها چه می‌شود؟ برنامه هسته‌ای چه می‌شود؟ پناهجویان چه می‌شوند؟ سوم، نفوذ گفتمان پسااستعماری و ضدغربی در دانشگاه‌ها و رسانه‌ها: این گفتمان گاه جمهوری اسلامی را نه به عنوان رژیم سرکوبگر، بلکه به عنوان «قربانی غرب» می‌بیند.</w:t>
      </w:r>
    </w:p>
    <w:p>
      <w:pPr>
        <w:bidi w:val="1"/>
        <w:spacing w:before="0" w:after="80" w:line="300" w:lineRule="auto"/>
        <w:jc w:val="right"/>
      </w:pPr>
      <w:r>
        <w:rPr>
          <w:rFonts w:ascii="Noto Naskh Arabic" w:hAnsi="Noto Naskh Arabic" w:cs="Noto Naskh Arabic" w:eastAsia="Noto Naskh Arabic"/>
          <w:cs/>
          <w:b w:val="0"/>
          <w:i w:val="0"/>
          <w:rtl w:val="1"/>
        </w:rPr>
        <w:t>چهارم، ضعف پیام اپوزیسیون: اگر اپوزیسیون در لندن، پاریس، برلین، واشنگتن و تورنتو با ده‌ها پیام متناقض ظاهر شود، دولت‌ها منتظر می‌مانند. پنجم، افراط‌های قابل تصویربرداری: حتی اگر اکثریت حامیان شاهزاده دموکرات و میهن‌دوست باشند، چند شعار انتقام‌جویانه، چند حمله لفظی، چند تهدید علیه منتقدان یا چند دفاع خام از گذشته، می‌تواند خوراک کافی برای ساختن تصویر منفی در رسانه فراهم کند. سیاست رسانه‌ای با میانگین رفتار کار نمی‌کند؛ با تصویر برجسته کار می‌کند.</w:t>
      </w:r>
    </w:p>
    <w:p>
      <w:pPr>
        <w:bidi w:val="1"/>
        <w:spacing w:before="0" w:after="80" w:line="300" w:lineRule="auto"/>
        <w:jc w:val="right"/>
      </w:pPr>
      <w:r>
        <w:rPr>
          <w:rFonts w:ascii="Noto Naskh Arabic" w:hAnsi="Noto Naskh Arabic" w:cs="Noto Naskh Arabic" w:eastAsia="Noto Naskh Arabic"/>
          <w:cs/>
          <w:b w:val="0"/>
          <w:i w:val="0"/>
          <w:rtl w:val="1"/>
        </w:rPr>
        <w:t>بنابراین، راه حل فقط شکایت از رسانه غربی نیست. باید خوراک رسانه‌ای بهتر تولید کرد: چهره‌های حقوقی، زنان، کارگران، پزشکان، خانواده‌های دادخواه، زندانیان سابق، و کارشناسان سیاست عمومی باید در کنار نماد ملی قرار گیرند. پیام باید این باشد: «ما انتقام نمی‌خواهیم؛ عدالت می‌خواهیم. ما جنگ داخلی نمی‌خواهیم؛ گذار قانونمند می‌خواهیم. ما حکومت فرقه‌ای نمی‌خواهیم؛ دولت ملی شهروندمدار می‌خواهیم.»</w:t>
      </w:r>
    </w:p>
    <w:p>
      <w:pPr>
        <w:bidi w:val="1"/>
        <w:spacing w:before="240" w:after="120"/>
        <w:jc w:val="right"/>
      </w:pPr>
      <w:r>
        <w:rPr>
          <w:rFonts w:ascii="Noto Sans Arabic" w:hAnsi="Noto Sans Arabic" w:cs="Noto Sans Arabic" w:eastAsia="Noto Sans Arabic"/>
          <w:cs/>
          <w:b/>
          <w:color w:val="1F4E79"/>
          <w:sz w:val="34"/>
          <w:rtl w:val="1"/>
        </w:rPr>
        <w:t>۱۰. از مطالبه حداکثری به ائتلاف حداقلی: چارچوب پیشنهادی برای اجماع جهانی</w:t>
      </w:r>
    </w:p>
    <w:p>
      <w:pPr>
        <w:bidi w:val="1"/>
        <w:spacing w:before="0" w:after="80" w:line="300" w:lineRule="auto"/>
        <w:jc w:val="right"/>
      </w:pPr>
      <w:r>
        <w:rPr>
          <w:rFonts w:ascii="Noto Naskh Arabic" w:hAnsi="Noto Naskh Arabic" w:cs="Noto Naskh Arabic" w:eastAsia="Noto Naskh Arabic"/>
          <w:cs/>
          <w:b w:val="0"/>
          <w:i w:val="0"/>
          <w:rtl w:val="1"/>
        </w:rPr>
        <w:t>برای ساختن اجماع جهانی، اپوزیسیون باید از جنگ بر سر نتیجه نهایی قدرت به سمت توافق بر سر قواعد گذار حرکت کند. این به معنای حذف پادشاهی‌خواهی، جمهوری‌خواهی، چپ، راست، لیبرال یا ملی‌گرا نیست؛ به معنای تعلیق نزاع نهایی تا زمان رأی آزاد است. محور اتحاد باید حقوقی، انسانی و سلبی باشد: نه به جمهوری اسلامی، نه به اعدام، نه به شکنجه، نه به زندانی سیاسی، نه به سرکوب زنان، نه به قطع اینترنت، نه به پنهان‌کاری درباره کشتارها. در برابر آن، مطالبات ایجابی حداقلی باید روشن باشد: آزادی زندانیان سیاسی، حقیقت‌یابی مستقل، اینترنت آزاد، حمایت از خانواده‌های دادخواه، تحریم هدفمند ناقضان حقوق بشر، و تضمین حق تعیین سرنوشت در انتخابات آزاد.</w:t>
      </w:r>
    </w:p>
    <w:tbl>
      <w:tblPr>
        <w:tblW w:type="auto" w:w="0"/>
        <w:jc w:val="center"/>
        <w:tblLook w:firstColumn="1" w:firstRow="1" w:lastColumn="0" w:lastRow="0" w:noHBand="0" w:noVBand="1" w:val="04A0"/>
      </w:tblPr>
      <w:tblGrid>
        <w:gridCol w:w="3324"/>
        <w:gridCol w:w="3324"/>
        <w:gridCol w:w="3324"/>
      </w:tblGrid>
      <w:tr>
        <w:tc>
          <w:tcPr>
            <w:tcW w:type="dxa" w:w="3324"/>
          </w:tcPr>
          <w:p>
            <w:pPr>
              <w:bidi w:val="1"/>
              <w:jc w:val="right"/>
            </w:pPr>
            <w:r/>
            <w:r>
              <w:rPr>
                <w:rFonts w:ascii="Noto Naskh Arabic" w:hAnsi="Noto Naskh Arabic" w:cs="Noto Naskh Arabic" w:eastAsia="Noto Naskh Arabic"/>
                <w:b/>
                <w:sz w:val="20"/>
                <w:cs/>
                <w:rtl w:val="1"/>
              </w:rPr>
              <w:t>تشخیص مشکل</w:t>
            </w:r>
          </w:p>
        </w:tc>
        <w:tc>
          <w:tcPr>
            <w:tcW w:type="dxa" w:w="3324"/>
          </w:tcPr>
          <w:p>
            <w:pPr>
              <w:bidi w:val="1"/>
              <w:jc w:val="right"/>
            </w:pPr>
            <w:r/>
            <w:r>
              <w:rPr>
                <w:rFonts w:ascii="Noto Naskh Arabic" w:hAnsi="Noto Naskh Arabic" w:cs="Noto Naskh Arabic" w:eastAsia="Noto Naskh Arabic"/>
                <w:b/>
                <w:sz w:val="20"/>
                <w:cs/>
                <w:rtl w:val="1"/>
              </w:rPr>
              <w:t>پیامد سیاسی</w:t>
            </w:r>
          </w:p>
        </w:tc>
        <w:tc>
          <w:tcPr>
            <w:tcW w:type="dxa" w:w="3324"/>
          </w:tcPr>
          <w:p>
            <w:pPr>
              <w:bidi w:val="1"/>
              <w:jc w:val="right"/>
            </w:pPr>
            <w:r/>
            <w:r>
              <w:rPr>
                <w:rFonts w:ascii="Noto Naskh Arabic" w:hAnsi="Noto Naskh Arabic" w:cs="Noto Naskh Arabic" w:eastAsia="Noto Naskh Arabic"/>
                <w:b/>
                <w:sz w:val="20"/>
                <w:cs/>
                <w:rtl w:val="1"/>
              </w:rPr>
              <w:t>پیشنهاد عملی</w:t>
            </w:r>
          </w:p>
        </w:tc>
      </w:tr>
      <w:tr>
        <w:tc>
          <w:tcPr>
            <w:tcW w:type="dxa" w:w="3324"/>
            <w:vAlign w:val="center"/>
          </w:tcPr>
          <w:p>
            <w:pPr>
              <w:bidi w:val="1"/>
              <w:jc w:val="right"/>
            </w:pPr>
            <w:r/>
            <w:r>
              <w:rPr>
                <w:rFonts w:ascii="Noto Naskh Arabic" w:hAnsi="Noto Naskh Arabic" w:cs="Noto Naskh Arabic" w:eastAsia="Noto Naskh Arabic"/>
                <w:b w:val="0"/>
                <w:sz w:val="19"/>
                <w:cs/>
                <w:rtl w:val="1"/>
              </w:rPr>
              <w:t>خلوص‌گرایی ایدئولوژیک</w:t>
            </w:r>
          </w:p>
        </w:tc>
        <w:tc>
          <w:tcPr>
            <w:tcW w:type="dxa" w:w="3324"/>
            <w:vAlign w:val="center"/>
          </w:tcPr>
          <w:p>
            <w:pPr>
              <w:bidi w:val="1"/>
              <w:jc w:val="right"/>
            </w:pPr>
            <w:r/>
            <w:r>
              <w:rPr>
                <w:rFonts w:ascii="Noto Naskh Arabic" w:hAnsi="Noto Naskh Arabic" w:cs="Noto Naskh Arabic" w:eastAsia="Noto Naskh Arabic"/>
                <w:b w:val="0"/>
                <w:sz w:val="19"/>
                <w:cs/>
                <w:rtl w:val="1"/>
              </w:rPr>
              <w:t>کوچک شدن ائتلاف و طرد نیروهای مفید</w:t>
            </w:r>
          </w:p>
        </w:tc>
        <w:tc>
          <w:tcPr>
            <w:tcW w:type="dxa" w:w="3324"/>
            <w:vAlign w:val="center"/>
          </w:tcPr>
          <w:p>
            <w:pPr>
              <w:bidi w:val="1"/>
              <w:jc w:val="right"/>
            </w:pPr>
            <w:r/>
            <w:r>
              <w:rPr>
                <w:rFonts w:ascii="Noto Naskh Arabic" w:hAnsi="Noto Naskh Arabic" w:cs="Noto Naskh Arabic" w:eastAsia="Noto Naskh Arabic"/>
                <w:b w:val="0"/>
                <w:sz w:val="19"/>
                <w:cs/>
                <w:rtl w:val="1"/>
              </w:rPr>
              <w:t>منشور حداقلی مبتنی بر حقوق بشر و رأی آزاد</w:t>
            </w:r>
          </w:p>
        </w:tc>
      </w:tr>
      <w:tr>
        <w:tc>
          <w:tcPr>
            <w:tcW w:type="dxa" w:w="3324"/>
            <w:vAlign w:val="center"/>
          </w:tcPr>
          <w:p>
            <w:pPr>
              <w:bidi w:val="1"/>
              <w:jc w:val="right"/>
            </w:pPr>
            <w:r/>
            <w:r>
              <w:rPr>
                <w:rFonts w:ascii="Noto Naskh Arabic" w:hAnsi="Noto Naskh Arabic" w:cs="Noto Naskh Arabic" w:eastAsia="Noto Naskh Arabic"/>
                <w:b w:val="0"/>
                <w:sz w:val="19"/>
                <w:cs/>
                <w:rtl w:val="1"/>
              </w:rPr>
              <w:t>بت‌سازی از رهبر نمادین</w:t>
            </w:r>
          </w:p>
        </w:tc>
        <w:tc>
          <w:tcPr>
            <w:tcW w:type="dxa" w:w="3324"/>
            <w:vAlign w:val="center"/>
          </w:tcPr>
          <w:p>
            <w:pPr>
              <w:bidi w:val="1"/>
              <w:jc w:val="right"/>
            </w:pPr>
            <w:r/>
            <w:r>
              <w:rPr>
                <w:rFonts w:ascii="Noto Naskh Arabic" w:hAnsi="Noto Naskh Arabic" w:cs="Noto Naskh Arabic" w:eastAsia="Noto Naskh Arabic"/>
                <w:b w:val="0"/>
                <w:sz w:val="19"/>
                <w:cs/>
                <w:rtl w:val="1"/>
              </w:rPr>
              <w:t>افزایش ترس غرب از اقتدارگرایی آینده</w:t>
            </w:r>
          </w:p>
        </w:tc>
        <w:tc>
          <w:tcPr>
            <w:tcW w:type="dxa" w:w="3324"/>
            <w:vAlign w:val="center"/>
          </w:tcPr>
          <w:p>
            <w:pPr>
              <w:bidi w:val="1"/>
              <w:jc w:val="right"/>
            </w:pPr>
            <w:r/>
            <w:r>
              <w:rPr>
                <w:rFonts w:ascii="Noto Naskh Arabic" w:hAnsi="Noto Naskh Arabic" w:cs="Noto Naskh Arabic" w:eastAsia="Noto Naskh Arabic"/>
                <w:b w:val="0"/>
                <w:sz w:val="19"/>
                <w:cs/>
                <w:rtl w:val="1"/>
              </w:rPr>
              <w:t>تعریف رهبر به عنوان ضامن گذار، نه جایگزین رأی مردم</w:t>
            </w:r>
          </w:p>
        </w:tc>
      </w:tr>
      <w:tr>
        <w:tc>
          <w:tcPr>
            <w:tcW w:type="dxa" w:w="3324"/>
            <w:vAlign w:val="center"/>
          </w:tcPr>
          <w:p>
            <w:pPr>
              <w:bidi w:val="1"/>
              <w:jc w:val="right"/>
            </w:pPr>
            <w:r/>
            <w:r>
              <w:rPr>
                <w:rFonts w:ascii="Noto Naskh Arabic" w:hAnsi="Noto Naskh Arabic" w:cs="Noto Naskh Arabic" w:eastAsia="Noto Naskh Arabic"/>
                <w:b w:val="0"/>
                <w:sz w:val="19"/>
                <w:cs/>
                <w:rtl w:val="1"/>
              </w:rPr>
              <w:t>آمارهای متناقض و غیرمستند</w:t>
            </w:r>
          </w:p>
        </w:tc>
        <w:tc>
          <w:tcPr>
            <w:tcW w:type="dxa" w:w="3324"/>
            <w:vAlign w:val="center"/>
          </w:tcPr>
          <w:p>
            <w:pPr>
              <w:bidi w:val="1"/>
              <w:jc w:val="right"/>
            </w:pPr>
            <w:r/>
            <w:r>
              <w:rPr>
                <w:rFonts w:ascii="Noto Naskh Arabic" w:hAnsi="Noto Naskh Arabic" w:cs="Noto Naskh Arabic" w:eastAsia="Noto Naskh Arabic"/>
                <w:b w:val="0"/>
                <w:sz w:val="19"/>
                <w:cs/>
                <w:rtl w:val="1"/>
              </w:rPr>
              <w:t>کاهش اعتماد رسانه و نهادهای حقوقی</w:t>
            </w:r>
          </w:p>
        </w:tc>
        <w:tc>
          <w:tcPr>
            <w:tcW w:type="dxa" w:w="3324"/>
            <w:vAlign w:val="center"/>
          </w:tcPr>
          <w:p>
            <w:pPr>
              <w:bidi w:val="1"/>
              <w:jc w:val="right"/>
            </w:pPr>
            <w:r/>
            <w:r>
              <w:rPr>
                <w:rFonts w:ascii="Noto Naskh Arabic" w:hAnsi="Noto Naskh Arabic" w:cs="Noto Naskh Arabic" w:eastAsia="Noto Naskh Arabic"/>
                <w:b w:val="0"/>
                <w:sz w:val="19"/>
                <w:cs/>
                <w:rtl w:val="1"/>
              </w:rPr>
              <w:t>کمیته مستقل مستندسازی و راستی‌آزمایی</w:t>
            </w:r>
          </w:p>
        </w:tc>
      </w:tr>
      <w:tr>
        <w:tc>
          <w:tcPr>
            <w:tcW w:type="dxa" w:w="3324"/>
            <w:vAlign w:val="center"/>
          </w:tcPr>
          <w:p>
            <w:pPr>
              <w:bidi w:val="1"/>
              <w:jc w:val="right"/>
            </w:pPr>
            <w:r/>
            <w:r>
              <w:rPr>
                <w:rFonts w:ascii="Noto Naskh Arabic" w:hAnsi="Noto Naskh Arabic" w:cs="Noto Naskh Arabic" w:eastAsia="Noto Naskh Arabic"/>
                <w:b w:val="0"/>
                <w:sz w:val="19"/>
                <w:cs/>
                <w:rtl w:val="1"/>
              </w:rPr>
              <w:t>پیام‌های پراکنده در دیاسپورا</w:t>
            </w:r>
          </w:p>
        </w:tc>
        <w:tc>
          <w:tcPr>
            <w:tcW w:type="dxa" w:w="3324"/>
            <w:vAlign w:val="center"/>
          </w:tcPr>
          <w:p>
            <w:pPr>
              <w:bidi w:val="1"/>
              <w:jc w:val="right"/>
            </w:pPr>
            <w:r/>
            <w:r>
              <w:rPr>
                <w:rFonts w:ascii="Noto Naskh Arabic" w:hAnsi="Noto Naskh Arabic" w:cs="Noto Naskh Arabic" w:eastAsia="Noto Naskh Arabic"/>
                <w:b w:val="0"/>
                <w:sz w:val="19"/>
                <w:cs/>
                <w:rtl w:val="1"/>
              </w:rPr>
              <w:t>سردرگمی دولت‌ها و رسانه‌ها</w:t>
            </w:r>
          </w:p>
        </w:tc>
        <w:tc>
          <w:tcPr>
            <w:tcW w:type="dxa" w:w="3324"/>
            <w:vAlign w:val="center"/>
          </w:tcPr>
          <w:p>
            <w:pPr>
              <w:bidi w:val="1"/>
              <w:jc w:val="right"/>
            </w:pPr>
            <w:r/>
            <w:r>
              <w:rPr>
                <w:rFonts w:ascii="Noto Naskh Arabic" w:hAnsi="Noto Naskh Arabic" w:cs="Noto Naskh Arabic" w:eastAsia="Noto Naskh Arabic"/>
                <w:b w:val="0"/>
                <w:sz w:val="19"/>
                <w:cs/>
                <w:rtl w:val="1"/>
              </w:rPr>
              <w:t>اتاق هماهنگی پیام با سخنگویان تخصصی</w:t>
            </w:r>
          </w:p>
        </w:tc>
      </w:tr>
      <w:tr>
        <w:tc>
          <w:tcPr>
            <w:tcW w:type="dxa" w:w="3324"/>
            <w:vAlign w:val="center"/>
          </w:tcPr>
          <w:p>
            <w:pPr>
              <w:bidi w:val="1"/>
              <w:jc w:val="right"/>
            </w:pPr>
            <w:r/>
            <w:r>
              <w:rPr>
                <w:rFonts w:ascii="Noto Naskh Arabic" w:hAnsi="Noto Naskh Arabic" w:cs="Noto Naskh Arabic" w:eastAsia="Noto Naskh Arabic"/>
                <w:b w:val="0"/>
                <w:sz w:val="19"/>
                <w:cs/>
                <w:rtl w:val="1"/>
              </w:rPr>
              <w:t>تمرکز بیش از حد بر گذشته</w:t>
            </w:r>
          </w:p>
        </w:tc>
        <w:tc>
          <w:tcPr>
            <w:tcW w:type="dxa" w:w="3324"/>
            <w:vAlign w:val="center"/>
          </w:tcPr>
          <w:p>
            <w:pPr>
              <w:bidi w:val="1"/>
              <w:jc w:val="right"/>
            </w:pPr>
            <w:r/>
            <w:r>
              <w:rPr>
                <w:rFonts w:ascii="Noto Naskh Arabic" w:hAnsi="Noto Naskh Arabic" w:cs="Noto Naskh Arabic" w:eastAsia="Noto Naskh Arabic"/>
                <w:b w:val="0"/>
                <w:sz w:val="19"/>
                <w:cs/>
                <w:rtl w:val="1"/>
              </w:rPr>
              <w:t>تقویت روایت بازگشت‌گرایی</w:t>
            </w:r>
          </w:p>
        </w:tc>
        <w:tc>
          <w:tcPr>
            <w:tcW w:type="dxa" w:w="3324"/>
            <w:vAlign w:val="center"/>
          </w:tcPr>
          <w:p>
            <w:pPr>
              <w:bidi w:val="1"/>
              <w:jc w:val="right"/>
            </w:pPr>
            <w:r/>
            <w:r>
              <w:rPr>
                <w:rFonts w:ascii="Noto Naskh Arabic" w:hAnsi="Noto Naskh Arabic" w:cs="Noto Naskh Arabic" w:eastAsia="Noto Naskh Arabic"/>
                <w:b w:val="0"/>
                <w:sz w:val="19"/>
                <w:cs/>
                <w:rtl w:val="1"/>
              </w:rPr>
              <w:t>تبدیل میراث پهلوی به برنامه دولت‌سازی آینده‌نگر</w:t>
            </w:r>
          </w:p>
        </w:tc>
      </w:tr>
      <w:tr>
        <w:tc>
          <w:tcPr>
            <w:tcW w:type="dxa" w:w="3324"/>
            <w:vAlign w:val="center"/>
          </w:tcPr>
          <w:p>
            <w:pPr>
              <w:bidi w:val="1"/>
              <w:jc w:val="right"/>
            </w:pPr>
            <w:r/>
            <w:r>
              <w:rPr>
                <w:rFonts w:ascii="Noto Naskh Arabic" w:hAnsi="Noto Naskh Arabic" w:cs="Noto Naskh Arabic" w:eastAsia="Noto Naskh Arabic"/>
                <w:b w:val="0"/>
                <w:sz w:val="19"/>
                <w:cs/>
                <w:rtl w:val="1"/>
              </w:rPr>
              <w:t>ضعف ارتباط با اتحادیه‌ها و نهادهای مدنی غرب</w:t>
            </w:r>
          </w:p>
        </w:tc>
        <w:tc>
          <w:tcPr>
            <w:tcW w:type="dxa" w:w="3324"/>
            <w:vAlign w:val="center"/>
          </w:tcPr>
          <w:p>
            <w:pPr>
              <w:bidi w:val="1"/>
              <w:jc w:val="right"/>
            </w:pPr>
            <w:r/>
            <w:r>
              <w:rPr>
                <w:rFonts w:ascii="Noto Naskh Arabic" w:hAnsi="Noto Naskh Arabic" w:cs="Noto Naskh Arabic" w:eastAsia="Noto Naskh Arabic"/>
                <w:b w:val="0"/>
                <w:sz w:val="19"/>
                <w:cs/>
                <w:rtl w:val="1"/>
              </w:rPr>
              <w:t>تنها ماندن اعتراض ایرانیان در سطح عاطفی</w:t>
            </w:r>
          </w:p>
        </w:tc>
        <w:tc>
          <w:tcPr>
            <w:tcW w:type="dxa" w:w="3324"/>
            <w:vAlign w:val="center"/>
          </w:tcPr>
          <w:p>
            <w:pPr>
              <w:bidi w:val="1"/>
              <w:jc w:val="right"/>
            </w:pPr>
            <w:r/>
            <w:r>
              <w:rPr>
                <w:rFonts w:ascii="Noto Naskh Arabic" w:hAnsi="Noto Naskh Arabic" w:cs="Noto Naskh Arabic" w:eastAsia="Noto Naskh Arabic"/>
                <w:b w:val="0"/>
                <w:sz w:val="19"/>
                <w:cs/>
                <w:rtl w:val="1"/>
              </w:rPr>
              <w:t>شبکه‌سازی با پارلمان‌ها، سندیکاها، دانشگاه‌ها و انجمن‌های پزشکی/حقوقی</w:t>
            </w:r>
          </w:p>
        </w:tc>
      </w:tr>
    </w:tbl>
    <w:p>
      <w:pPr>
        <w:bidi w:val="1"/>
        <w:spacing w:before="0" w:after="80" w:line="300" w:lineRule="auto"/>
        <w:jc w:val="right"/>
      </w:pPr>
    </w:p>
    <w:p>
      <w:pPr>
        <w:bidi w:val="1"/>
        <w:spacing w:before="0" w:after="80" w:line="300" w:lineRule="auto"/>
        <w:jc w:val="right"/>
      </w:pPr>
      <w:r>
        <w:rPr>
          <w:rFonts w:ascii="Noto Naskh Arabic" w:hAnsi="Noto Naskh Arabic" w:cs="Noto Naskh Arabic" w:eastAsia="Noto Naskh Arabic"/>
          <w:cs/>
          <w:b w:val="0"/>
          <w:i w:val="0"/>
          <w:rtl w:val="1"/>
        </w:rPr>
        <w:t>یک راهبرد عملی می‌تواند پنج ستون داشته باشد: نخست، مستندسازی حرفه‌ای جنایت‌ها با استاندارد قابل استفاده در دادگاه‌ها و پارلمان‌ها؛ دوم، دیپلماسی شهروندی منظم با نمایندگان مجلس، شوراها، اتحادیه‌ها و رسانه‌ها؛ سوم، روایت‌سازی انسانی از قربانیان به جای عددسازی صرف؛ چهارم، تضمین‌های علنی درباره عدالت انتقالی و عدم انتقام؛ پنجم، برنامه کوتاه برای روز اول پس از گذار: امنیت، نان، دارو، اینترنت، بانک، انرژی و اداره خدمات عمومی.</w:t>
      </w:r>
    </w:p>
    <w:p>
      <w:pPr>
        <w:bidi w:val="1"/>
        <w:spacing w:before="0" w:after="80" w:line="300" w:lineRule="auto"/>
        <w:jc w:val="right"/>
      </w:pPr>
      <w:r>
        <w:rPr>
          <w:rFonts w:ascii="Noto Naskh Arabic" w:hAnsi="Noto Naskh Arabic" w:cs="Noto Naskh Arabic" w:eastAsia="Noto Naskh Arabic"/>
          <w:cs/>
          <w:b w:val="0"/>
          <w:i w:val="0"/>
          <w:rtl w:val="1"/>
        </w:rPr>
        <w:t>در این چارچوب، اعتراضات ۱۸ و ۱۹ دی ۱۴۰۴ یا هر کشتار و سرکوب بزرگ دیگر باید به سه چیز تبدیل شود: پرونده حقیقت‌یابی، مطالبه سیاسی مشخص، و حافظه ملی سازمان‌یافته. Human Rights Watch در ژانویه ۲۰۲۶ از «کشتار جمعی» پس از تشدید اعتراضات ۸ ژانویه سخن گفت و خواستار اقدام فوری شورای حقوق بشر شد [9]. چنین گزارش‌هایی باید به کارزارهای حقوقی و دیپلماتیک تبدیل شوند، نه فقط به خشم شبکه‌های اجتماعی.</w:t>
      </w:r>
    </w:p>
    <w:p>
      <w:pPr>
        <w:bidi w:val="1"/>
        <w:spacing w:before="0" w:after="80" w:line="300" w:lineRule="auto"/>
        <w:jc w:val="right"/>
      </w:pPr>
      <w:r>
        <w:rPr>
          <w:rFonts w:ascii="Noto Naskh Arabic" w:hAnsi="Noto Naskh Arabic" w:cs="Noto Naskh Arabic" w:eastAsia="Noto Naskh Arabic"/>
          <w:cs/>
          <w:b w:val="0"/>
          <w:i w:val="0"/>
          <w:rtl w:val="1"/>
        </w:rPr>
        <w:t>سازمان ملل نیز با ایجاد و تمدید مأموریت حقیقت‌یاب مستقل درباره ایران، یک مسیر نهادی برای پیگیری نقض حقوق بشر فراهم کرده است [1]. گزارش ۲۰۲۶ مأموریت حقیقت‌یاب نیز به نقض‌های جدی و جاری، افزایش شدید اعدام‌ها، تداوم مصونیت و تبعیض ساختاری اشاره کرده است [10]. وظیفه اپوزیسیون این است که این مسیرها را با پرونده‌های دقیق، شاهدان قابل حمایت، ترجمه حقوقی و فشار سیاسی زنده نگه دارد.</w:t>
      </w:r>
    </w:p>
    <w:p>
      <w:pPr>
        <w:bidi w:val="1"/>
        <w:spacing w:before="240" w:after="120"/>
        <w:jc w:val="right"/>
      </w:pPr>
      <w:r>
        <w:rPr>
          <w:rFonts w:ascii="Noto Sans Arabic" w:hAnsi="Noto Sans Arabic" w:cs="Noto Sans Arabic" w:eastAsia="Noto Sans Arabic"/>
          <w:cs/>
          <w:b/>
          <w:color w:val="1F4E79"/>
          <w:sz w:val="34"/>
          <w:rtl w:val="1"/>
        </w:rPr>
        <w:t>۱۱. نتیجه‌گیری: ملی‌گرایی مدنی به جای نوستالژی، عمل‌گرایی اخلاقی به جای خلوص‌گرایی</w:t>
      </w:r>
    </w:p>
    <w:p>
      <w:pPr>
        <w:bidi w:val="1"/>
        <w:spacing w:before="0" w:after="80" w:line="300" w:lineRule="auto"/>
        <w:jc w:val="right"/>
      </w:pPr>
      <w:r>
        <w:rPr>
          <w:rFonts w:ascii="Noto Naskh Arabic" w:hAnsi="Noto Naskh Arabic" w:cs="Noto Naskh Arabic" w:eastAsia="Noto Naskh Arabic"/>
          <w:cs/>
          <w:b w:val="0"/>
          <w:i w:val="0"/>
          <w:rtl w:val="1"/>
        </w:rPr>
        <w:t>ایران برای پیروزی به یک انقلاب روانی در اپوزیسیون نیاز دارد: عبور از این تصور که حقانیت اخلاقی برای پیروزی کافی است. حقانیت شرط لازم است، اما کافی نیست. شرط کافی، تبدیل حقانیت به سازمان، پیام، اعتماد، ائتلاف و برنامه است.</w:t>
      </w:r>
    </w:p>
    <w:p>
      <w:pPr>
        <w:bidi w:val="1"/>
        <w:spacing w:before="0" w:after="80" w:line="300" w:lineRule="auto"/>
        <w:jc w:val="right"/>
      </w:pPr>
      <w:r>
        <w:rPr>
          <w:rFonts w:ascii="Noto Naskh Arabic" w:hAnsi="Noto Naskh Arabic" w:cs="Noto Naskh Arabic" w:eastAsia="Noto Naskh Arabic"/>
          <w:cs/>
          <w:b w:val="0"/>
          <w:i w:val="0"/>
          <w:rtl w:val="1"/>
        </w:rPr>
        <w:t>جنبش کارگری شکست نخورد چون ایده عدالت غلط بود؛ شکست خورد چون رژیم توانست آن را امنیتی، پراکنده و بی‌پناه کند. جنبش ملی نیز شکست نخواهد خورد مگر آنکه خودش را به نوستالژی، طرد، انتقام و بت‌سازی تقلیل دهد. قدرت جنبش ملی در آینده است، نه فقط در گذشته؛ در شهروند است، نه فقط در شاه؛ در قانون است، نه فقط در پرچم؛ در نهاد است، نه فقط در احساس.</w:t>
      </w:r>
    </w:p>
    <w:p>
      <w:pPr>
        <w:bidi w:val="1"/>
        <w:spacing w:before="0" w:after="80" w:line="300" w:lineRule="auto"/>
        <w:jc w:val="right"/>
      </w:pPr>
      <w:r>
        <w:rPr>
          <w:rFonts w:ascii="Noto Naskh Arabic" w:hAnsi="Noto Naskh Arabic" w:cs="Noto Naskh Arabic" w:eastAsia="Noto Naskh Arabic"/>
          <w:cs/>
          <w:b w:val="0"/>
          <w:i w:val="0"/>
          <w:rtl w:val="1"/>
        </w:rPr>
        <w:t>شاهزاده رضا پهلوی می‌تواند یکی از مهم‌ترین نمادهای گذار باشد، اگر حامیانش او را از بار سنگین پرستش آزاد کنند و به جای آن، او را در چارچوب قرارداد ملی، رأی آزاد و دولت شهروندمدار معرفی کنند. ایران‌گرایی می‌تواند بزرگ‌ترین ظرف وحدت باشد، اگر از ملی‌گرایی مدنی دفاع کند؛ نه از طرد، تحقیر یا خلوص‌گرایی.</w:t>
      </w:r>
    </w:p>
    <w:p>
      <w:pPr>
        <w:bidi w:val="1"/>
        <w:spacing w:before="0" w:after="80" w:line="300" w:lineRule="auto"/>
        <w:jc w:val="right"/>
      </w:pPr>
      <w:r>
        <w:rPr>
          <w:rFonts w:ascii="Noto Naskh Arabic" w:hAnsi="Noto Naskh Arabic" w:cs="Noto Naskh Arabic" w:eastAsia="Noto Naskh Arabic"/>
          <w:cs/>
          <w:b w:val="0"/>
          <w:i w:val="0"/>
          <w:rtl w:val="1"/>
        </w:rPr>
        <w:t>در نهایت، مسئله ایران این نیست که جهان نمی‌داند جمهوری اسلامی سرکوبگر است؛ مسئله این است که جهان هنوز به اندازه کافی نمی‌داند آلترناتیو قابل اعتماد، منسجم و آینده‌نگر چیست. اپوزیسیون باید به جای اثبات دائمی اینکه رژیم بد است، نشان دهد که نیروی جایگزین می‌تواند بهتر، قانونی‌تر، انسانی‌تر و قابل اعتمادتر باشد.</w:t>
      </w:r>
    </w:p>
    <w:p>
      <w:pPr>
        <w:bidi w:val="1"/>
        <w:spacing w:before="0" w:after="80" w:line="300" w:lineRule="auto"/>
        <w:jc w:val="right"/>
      </w:pPr>
      <w:r>
        <w:rPr>
          <w:rFonts w:ascii="Noto Naskh Arabic" w:hAnsi="Noto Naskh Arabic" w:cs="Noto Naskh Arabic" w:eastAsia="Noto Naskh Arabic"/>
          <w:cs/>
          <w:b w:val="0"/>
          <w:i w:val="0"/>
          <w:rtl w:val="1"/>
        </w:rPr>
        <w:t>فرمول راهبردی چنین است: درد + سند + پیام واحد + نهاد + ائتلاف + تضمین آینده = قدرت سیاسی. بدون این زنجیره، حتی عظیم‌ترین رنج‌ها نیز ممکن است در حافظه بمانند اما در سیاست شکست بخورند. با این زنجیره، رنج ایرانیان می‌تواند از سوگ به مطالبه، از مطالبه به فشار، از فشار به گذار، و از گذار به دولت ملی آزاد تبدیل شود.</w:t>
      </w:r>
    </w:p>
    <w:p>
      <w:pPr>
        <w:bidi w:val="1"/>
        <w:spacing w:before="240" w:after="120"/>
        <w:jc w:val="right"/>
      </w:pPr>
      <w:r>
        <w:rPr>
          <w:rFonts w:ascii="Noto Sans Arabic" w:hAnsi="Noto Sans Arabic" w:cs="Noto Sans Arabic" w:eastAsia="Noto Sans Arabic"/>
          <w:cs/>
          <w:b/>
          <w:color w:val="1F4E79"/>
          <w:sz w:val="34"/>
          <w:rtl w:val="1"/>
        </w:rPr>
        <w:t>۱۲. منابع منتخب</w:t>
      </w:r>
    </w:p>
    <w:p>
      <w:pPr>
        <w:bidi w:val="1"/>
        <w:spacing w:before="0" w:after="60" w:line="300" w:lineRule="auto"/>
        <w:jc w:val="right"/>
      </w:pPr>
      <w:r>
        <w:rPr>
          <w:rFonts w:ascii="Noto Naskh Arabic" w:hAnsi="Noto Naskh Arabic" w:cs="Noto Naskh Arabic" w:eastAsia="Noto Naskh Arabic"/>
          <w:cs/>
          <w:b w:val="0"/>
          <w:i w:val="0"/>
          <w:sz w:val="21"/>
          <w:rtl w:val="1"/>
        </w:rPr>
        <w:t>[1] دفتر کمیساریای عالی حقوق بشر سازمان ملل: صفحه مأموریت حقیقت‌یاب مستقل درباره جمهوری اسلامی ایران؛ شامل تأسیس مأموریت در ۲۴ نوامبر ۲۰۲۲ و تمدیدهای بعدی شورای حقوق بشر.</w:t>
      </w:r>
    </w:p>
    <w:p>
      <w:pPr>
        <w:bidi w:val="1"/>
        <w:spacing w:before="0" w:after="60" w:line="300" w:lineRule="auto"/>
        <w:jc w:val="right"/>
      </w:pPr>
      <w:r>
        <w:rPr>
          <w:rFonts w:ascii="Noto Naskh Arabic" w:hAnsi="Noto Naskh Arabic" w:cs="Noto Naskh Arabic" w:eastAsia="Noto Naskh Arabic"/>
          <w:cs/>
          <w:b w:val="0"/>
          <w:i w:val="0"/>
          <w:sz w:val="21"/>
          <w:rtl w:val="1"/>
        </w:rPr>
        <w:t>[2] عفو بین‌الملل: مرور وضعیت حقوق بشر در ایران در سال‌های ۲۰۲۴/۲۰۲۵، منتشرشده در ۲۹ آوریل ۲۰۲۵.</w:t>
      </w:r>
    </w:p>
    <w:p>
      <w:pPr>
        <w:bidi w:val="1"/>
        <w:spacing w:before="0" w:after="60" w:line="300" w:lineRule="auto"/>
        <w:jc w:val="right"/>
      </w:pPr>
      <w:r>
        <w:rPr>
          <w:rFonts w:ascii="Noto Naskh Arabic" w:hAnsi="Noto Naskh Arabic" w:cs="Noto Naskh Arabic" w:eastAsia="Noto Naskh Arabic"/>
          <w:cs/>
          <w:b w:val="0"/>
          <w:i w:val="0"/>
          <w:sz w:val="21"/>
          <w:rtl w:val="1"/>
        </w:rPr>
        <w:t>[3] عفو بین‌الملل: گزارش افزایش اعدام‌ها در ایران و عبور شمار اعدام‌های سال ۲۰۲۵ از هزار مورد، منتشرشده در ۲۶ سپتامبر ۲۰۲۵.</w:t>
      </w:r>
    </w:p>
    <w:p>
      <w:pPr>
        <w:bidi w:val="1"/>
        <w:spacing w:before="0" w:after="60" w:line="300" w:lineRule="auto"/>
        <w:jc w:val="right"/>
      </w:pPr>
      <w:r>
        <w:rPr>
          <w:rFonts w:ascii="Noto Naskh Arabic" w:hAnsi="Noto Naskh Arabic" w:cs="Noto Naskh Arabic" w:eastAsia="Noto Naskh Arabic"/>
          <w:cs/>
          <w:b w:val="0"/>
          <w:i w:val="0"/>
          <w:sz w:val="21"/>
          <w:rtl w:val="1"/>
        </w:rPr>
        <w:t>[4] دیده‌بان حقوق بشر: گزارش درباره فشار فزاینده بر معلمان و فعالان کارگری، از جمله فعالان هفت‌تپه، ۲۲ نوامبر ۲۰۱۸.</w:t>
      </w:r>
    </w:p>
    <w:p>
      <w:pPr>
        <w:bidi w:val="1"/>
        <w:spacing w:before="0" w:after="60" w:line="300" w:lineRule="auto"/>
        <w:jc w:val="right"/>
      </w:pPr>
      <w:r>
        <w:rPr>
          <w:rFonts w:ascii="Noto Naskh Arabic" w:hAnsi="Noto Naskh Arabic" w:cs="Noto Naskh Arabic" w:eastAsia="Noto Naskh Arabic"/>
          <w:cs/>
          <w:b w:val="0"/>
          <w:i w:val="0"/>
          <w:sz w:val="21"/>
          <w:rtl w:val="1"/>
        </w:rPr>
        <w:t>[5] فریدام هاوس: گزارش آزادی اینترنت در ایران، ۲۰۲۵؛ شامل سانسور، نظارت، دستکاری محتوا و آزار کاربران.</w:t>
      </w:r>
    </w:p>
    <w:p>
      <w:pPr>
        <w:bidi w:val="1"/>
        <w:spacing w:before="0" w:after="60" w:line="300" w:lineRule="auto"/>
        <w:jc w:val="right"/>
      </w:pPr>
      <w:r>
        <w:rPr>
          <w:rFonts w:ascii="Noto Naskh Arabic" w:hAnsi="Noto Naskh Arabic" w:cs="Noto Naskh Arabic" w:eastAsia="Noto Naskh Arabic"/>
          <w:cs/>
          <w:b w:val="0"/>
          <w:i w:val="0"/>
          <w:sz w:val="21"/>
          <w:rtl w:val="1"/>
        </w:rPr>
        <w:t>[6] گزارشگران بدون مرز: نمایه ایران در حوزه آزادی رسانه و سرکوب روزنامه‌نگاران و خاموشی رسانه‌ای.</w:t>
      </w:r>
    </w:p>
    <w:p>
      <w:pPr>
        <w:bidi w:val="1"/>
        <w:spacing w:before="0" w:after="60" w:line="300" w:lineRule="auto"/>
        <w:jc w:val="right"/>
      </w:pPr>
      <w:r>
        <w:rPr>
          <w:rFonts w:ascii="Noto Naskh Arabic" w:hAnsi="Noto Naskh Arabic" w:cs="Noto Naskh Arabic" w:eastAsia="Noto Naskh Arabic"/>
          <w:cs/>
          <w:b w:val="0"/>
          <w:i w:val="0"/>
          <w:sz w:val="21"/>
          <w:rtl w:val="1"/>
        </w:rPr>
        <w:t>[7] وزارت کشور بریتانیا: یادداشت کشوری درباره شبکه‌های اجتماعی، نظارت و فعالیت‌های سیاسی ایرانیان خارج از کشور، آوریل ۲۰۲۵.</w:t>
      </w:r>
    </w:p>
    <w:p>
      <w:pPr>
        <w:bidi w:val="1"/>
        <w:spacing w:before="0" w:after="60" w:line="300" w:lineRule="auto"/>
        <w:jc w:val="right"/>
      </w:pPr>
      <w:r>
        <w:rPr>
          <w:rFonts w:ascii="Noto Naskh Arabic" w:hAnsi="Noto Naskh Arabic" w:cs="Noto Naskh Arabic" w:eastAsia="Noto Naskh Arabic"/>
          <w:cs/>
          <w:b w:val="0"/>
          <w:i w:val="0"/>
          <w:sz w:val="21"/>
          <w:rtl w:val="1"/>
        </w:rPr>
        <w:t>[8] آسوشیتدپرس: گزارش تجمع گسترده حامیان شاهزاده رضا پهلوی در مونیخ و درخواست فشار بین‌المللی بر تهران، ۱۴ فوریه ۲۰۲۶.</w:t>
      </w:r>
    </w:p>
    <w:p>
      <w:pPr>
        <w:bidi w:val="1"/>
        <w:spacing w:before="0" w:after="60" w:line="300" w:lineRule="auto"/>
        <w:jc w:val="right"/>
      </w:pPr>
      <w:r>
        <w:rPr>
          <w:rFonts w:ascii="Noto Naskh Arabic" w:hAnsi="Noto Naskh Arabic" w:cs="Noto Naskh Arabic" w:eastAsia="Noto Naskh Arabic"/>
          <w:cs/>
          <w:b w:val="0"/>
          <w:i w:val="0"/>
          <w:sz w:val="21"/>
          <w:rtl w:val="1"/>
        </w:rPr>
        <w:t>[9] دیده‌بان حقوق بشر: گزارش «شواهد فزاینده از کشتارهای سراسری» پس از تشدید اعتراضات ژانویه ۲۰۲۶، منتشرشده در ۱۶ ژانویه ۲۰۲۶.</w:t>
      </w:r>
    </w:p>
    <w:p>
      <w:pPr>
        <w:bidi w:val="1"/>
        <w:spacing w:before="0" w:after="60" w:line="300" w:lineRule="auto"/>
        <w:jc w:val="right"/>
      </w:pPr>
      <w:r>
        <w:rPr>
          <w:rFonts w:ascii="Noto Naskh Arabic" w:hAnsi="Noto Naskh Arabic" w:cs="Noto Naskh Arabic" w:eastAsia="Noto Naskh Arabic"/>
          <w:cs/>
          <w:b w:val="0"/>
          <w:i w:val="0"/>
          <w:sz w:val="21"/>
          <w:rtl w:val="1"/>
        </w:rPr>
        <w:t>[10] دفتر کمیساریای عالی حقوق بشر سازمان ملل: گزارش A/HRC/61/60 مأموریت حقیقت‌یاب مستقل درباره ایران، منتشرشده در ۱۱ مارس ۲۰۲۶.</w:t>
      </w:r>
    </w:p>
    <w:p>
      <w:pPr>
        <w:bidi w:val="1"/>
        <w:spacing w:before="0" w:after="60" w:line="300" w:lineRule="auto"/>
        <w:jc w:val="right"/>
      </w:pPr>
      <w:r>
        <w:rPr>
          <w:rFonts w:ascii="Noto Naskh Arabic" w:hAnsi="Noto Naskh Arabic" w:cs="Noto Naskh Arabic" w:eastAsia="Noto Naskh Arabic"/>
          <w:cs/>
          <w:b w:val="0"/>
          <w:i w:val="0"/>
          <w:sz w:val="21"/>
          <w:rtl w:val="1"/>
        </w:rPr>
        <w:t>[11] برای چارچوب نظری: هانا آرنت درباره قدرت و خشونت؛ چارلز تیلی و سیدنی تارو درباره بسیج جمعی؛ منکور اولسون درباره منطق کنش جمعی؛ و ادبیات عدالت انتقالی درباره حقیقت‌یابی، پاسخگویی و جلوگیری از انتقام.</w:t>
      </w:r>
    </w:p>
    <w:p>
      <w:pPr>
        <w:bidi w:val="1"/>
        <w:spacing w:before="240" w:after="120"/>
        <w:jc w:val="right"/>
      </w:pPr>
      <w:r>
        <w:rPr>
          <w:rFonts w:ascii="Noto Sans Arabic" w:hAnsi="Noto Sans Arabic" w:cs="Noto Sans Arabic" w:eastAsia="Noto Sans Arabic"/>
          <w:cs/>
          <w:b/>
          <w:color w:val="1F4E79"/>
          <w:sz w:val="34"/>
          <w:rtl w:val="1"/>
        </w:rPr>
        <w:t>پیوست: منشور حداقلی پیشنهادی برای پیام واحد</w:t>
      </w:r>
    </w:p>
    <w:p>
      <w:pPr>
        <w:bidi w:val="1"/>
        <w:spacing w:before="0" w:after="40" w:line="300" w:lineRule="auto"/>
        <w:jc w:val="right"/>
      </w:pPr>
      <w:r>
        <w:rPr>
          <w:rFonts w:ascii="Noto Naskh Arabic" w:hAnsi="Noto Naskh Arabic" w:cs="Noto Naskh Arabic" w:eastAsia="Noto Naskh Arabic"/>
          <w:cs/>
          <w:b w:val="0"/>
          <w:i w:val="0"/>
          <w:sz w:val="22"/>
          <w:rtl w:val="1"/>
        </w:rPr>
        <w:t>• ما خواهان پایان جمهوری اسلامی از طریق گذار ملی، مدنی و قانونمند هستیم.</w:t>
      </w:r>
    </w:p>
    <w:p>
      <w:pPr>
        <w:bidi w:val="1"/>
        <w:spacing w:before="0" w:after="40" w:line="300" w:lineRule="auto"/>
        <w:jc w:val="right"/>
      </w:pPr>
      <w:r>
        <w:rPr>
          <w:rFonts w:ascii="Noto Naskh Arabic" w:hAnsi="Noto Naskh Arabic" w:cs="Noto Naskh Arabic" w:eastAsia="Noto Naskh Arabic"/>
          <w:cs/>
          <w:b w:val="0"/>
          <w:i w:val="0"/>
          <w:sz w:val="22"/>
          <w:rtl w:val="1"/>
        </w:rPr>
        <w:t>• ما با اعدام، شکنجه، زندان سیاسی، حجاب اجباری، تبعیض و قطع اینترنت مخالفیم.</w:t>
      </w:r>
    </w:p>
    <w:p>
      <w:pPr>
        <w:bidi w:val="1"/>
        <w:spacing w:before="0" w:after="40" w:line="300" w:lineRule="auto"/>
        <w:jc w:val="right"/>
      </w:pPr>
      <w:r>
        <w:rPr>
          <w:rFonts w:ascii="Noto Naskh Arabic" w:hAnsi="Noto Naskh Arabic" w:cs="Noto Naskh Arabic" w:eastAsia="Noto Naskh Arabic"/>
          <w:cs/>
          <w:b w:val="0"/>
          <w:i w:val="0"/>
          <w:sz w:val="22"/>
          <w:rtl w:val="1"/>
        </w:rPr>
        <w:t>• ما خواهان حقیقت‌یابی مستقل درباره همه کشتارها، از جمله وقایع ۱۸ و ۱۹ دی ۱۴۰۴، و حمایت از خانواده‌های دادخواه هستیم.</w:t>
      </w:r>
    </w:p>
    <w:p>
      <w:pPr>
        <w:bidi w:val="1"/>
        <w:spacing w:before="0" w:after="40" w:line="300" w:lineRule="auto"/>
        <w:jc w:val="right"/>
      </w:pPr>
      <w:r>
        <w:rPr>
          <w:rFonts w:ascii="Noto Naskh Arabic" w:hAnsi="Noto Naskh Arabic" w:cs="Noto Naskh Arabic" w:eastAsia="Noto Naskh Arabic"/>
          <w:cs/>
          <w:b w:val="0"/>
          <w:i w:val="0"/>
          <w:sz w:val="22"/>
          <w:rtl w:val="1"/>
        </w:rPr>
        <w:t>• ما آینده ایران را به رأی آزاد مردم واگذار می‌کنیم؛ شکل حکومت باید در فرایندی شفاف و آزاد تعیین شود.</w:t>
      </w:r>
    </w:p>
    <w:p>
      <w:pPr>
        <w:bidi w:val="1"/>
        <w:spacing w:before="0" w:after="40" w:line="300" w:lineRule="auto"/>
        <w:jc w:val="right"/>
      </w:pPr>
      <w:r>
        <w:rPr>
          <w:rFonts w:ascii="Noto Naskh Arabic" w:hAnsi="Noto Naskh Arabic" w:cs="Noto Naskh Arabic" w:eastAsia="Noto Naskh Arabic"/>
          <w:cs/>
          <w:b w:val="0"/>
          <w:i w:val="0"/>
          <w:sz w:val="22"/>
          <w:rtl w:val="1"/>
        </w:rPr>
        <w:t>• ما از تمامیت ارضی ایران، حقوق برابر همه شهروندان، آزادی احزاب و رسانه‌ها، استقلال قوه قضاییه و عدالت انتقالی غیرانتقام‌جویانه دفاع می‌کنیم.</w:t>
      </w:r>
    </w:p>
    <w:p>
      <w:pPr>
        <w:bidi w:val="1"/>
        <w:spacing w:before="0" w:after="40" w:line="300" w:lineRule="auto"/>
        <w:jc w:val="right"/>
      </w:pPr>
      <w:r>
        <w:rPr>
          <w:rFonts w:ascii="Noto Naskh Arabic" w:hAnsi="Noto Naskh Arabic" w:cs="Noto Naskh Arabic" w:eastAsia="Noto Naskh Arabic"/>
          <w:cs/>
          <w:b w:val="0"/>
          <w:i w:val="0"/>
          <w:sz w:val="22"/>
          <w:rtl w:val="1"/>
        </w:rPr>
        <w:t>• ما از جهان دموکراتیک می‌خواهیم به جای مماشات با سرکوبگران، مردم ایران و نهادهای مدنی آنان را به رسمیت بشناسد.</w:t>
      </w:r>
    </w:p>
    <w:sectPr w:rsidR="00FC693F" w:rsidRPr="0006063C" w:rsidSect="00034616">
      <w:footerReference w:type="default" r:id="rId9"/>
      <w:pgSz w:w="12240" w:h="15840"/>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eastAsia="Noto Naskh Arabic"/>
        <w:cs/>
        <w:rtl w:val="1"/>
      </w:rPr>
      <w:t xml:space="preserve">صفحه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