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00" w:lineRule="auto" w:after="240" w:before="0"/>
        <w:ind w:firstLine="0"/>
        <w:jc w:val="start"/>
        <w:pStyle w:val="Title"/>
        <w:keepNext/>
        <w:keepLines w:val="0"/>
        <w:widowControl/>
        <w:bidi w:val="1"/>
        <w:rPr>
          <w:rFonts w:ascii="Noto Kufi Arabic" w:hAnsi="Noto Kufi Arabic" w:cs="Noto Kufi Arabic" w:eastAsia="Noto Kufi Arabic"/>
          <w:sz w:val="48"/>
          <w:szCs w:val="48"/>
          <w:b w:val="1"/>
          <w:bCs w:val="1"/>
          <w:i w:val="0"/>
          <w:iCs w:val="0"/>
          <w:rtl w:val="1"/>
          <w:lang w:val="fa-IR" w:bidi="fa-IR"/>
          <w:color w:val="000000"/>
        </w:rPr>
      </w:pPr>
      <w:r>
        <w:rPr>
          <w:rFonts w:ascii="Noto Kufi Arabic" w:hAnsi="Noto Kufi Arabic" w:cs="Noto Kufi Arabic" w:eastAsia="Noto Kufi Arabic"/>
          <w:sz w:val="48"/>
          <w:szCs w:val="48"/>
          <w:b w:val="1"/>
          <w:bCs w:val="1"/>
          <w:i w:val="0"/>
          <w:iCs w:val="0"/>
          <w:rtl w:val="1"/>
          <w:lang w:val="fa-IR" w:bidi="fa-IR"/>
          <w:color w:val="000000"/>
        </w:rPr>
        <w:t>جنبش شیر و خورشید و بحران اعتماد در اپوزیسیون ایرانی</w:t>
      </w:r>
    </w:p>
    <w:p>
      <w:pPr>
        <w:pStyle w:val="Subtitle"/>
        <w:keepNext/>
        <w:keepLines w:val="0"/>
        <w:widowControl/>
        <w:bidi w:val="1"/>
        <w:spacing w:line="300" w:lineRule="auto" w:after="240" w:before="0"/>
        <w:ind w:firstLine="0"/>
        <w:jc w:val="start"/>
        <w:rPr>
          <w:rFonts w:ascii="Noto Naskh Arabic" w:hAnsi="Noto Naskh Arabic" w:cs="Noto Naskh Arabic" w:eastAsia="Noto Naskh Arabic"/>
          <w:sz w:val="30"/>
          <w:szCs w:val="30"/>
          <w:b w:val="0"/>
          <w:bCs w:val="0"/>
          <w:i w:val="0"/>
          <w:iCs w:val="0"/>
          <w:rtl w:val="1"/>
          <w:lang w:val="fa-IR" w:bidi="fa-IR"/>
          <w:color w:val="000000"/>
        </w:rPr>
      </w:pPr>
      <w:r>
        <w:rPr>
          <w:rFonts w:ascii="Noto Naskh Arabic" w:hAnsi="Noto Naskh Arabic" w:cs="Noto Naskh Arabic" w:eastAsia="Noto Naskh Arabic"/>
          <w:sz w:val="30"/>
          <w:szCs w:val="30"/>
          <w:b w:val="0"/>
          <w:bCs w:val="0"/>
          <w:i w:val="0"/>
          <w:iCs w:val="0"/>
          <w:rtl w:val="1"/>
          <w:lang w:val="fa-IR" w:bidi="fa-IR"/>
          <w:color w:val="000000"/>
        </w:rPr>
        <w:t>تحلیل تاریخی، سیاسی و روان‌شناختی با راهبردهای عملی برای اعتمادسازی</w:t>
      </w:r>
    </w:p>
    <w:p>
      <w:pPr>
        <w:spacing w:line="300" w:lineRule="auto" w:after="120" w:before="0"/>
        <w:ind w:firstLine="0"/>
        <w:jc w:val="start"/>
        <w:keepNext/>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مقاله علمی ـ تحلیلی با ارجاعات</w:t>
      </w:r>
    </w:p>
    <w:p>
      <w:pPr>
        <w:spacing w:line="300" w:lineRule="auto" w:after="120" w:before="0"/>
        <w:ind w:firstLine="0"/>
        <w:jc w:val="start"/>
        <w:keepNext/>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تهیه‌شده برای: </w:t>
      </w:r>
      <w:r>
        <w:rPr>
          <w:rFonts w:ascii="Noto Naskh Arabic" w:hAnsi="Noto Naskh Arabic" w:cs="Noto Naskh Arabic" w:eastAsia="Noto Naskh Arabic"/>
          <w:sz w:val="26"/>
          <w:szCs w:val="26"/>
          <w:b w:val="0"/>
          <w:bCs w:val="0"/>
          <w:i w:val="0"/>
          <w:iCs w:val="0"/>
          <w:rtl w:val="0"/>
          <w:lang w:val="en-GB" w:bidi="fa-IR"/>
          <w:color w:val="000000"/>
        </w:rPr>
        <w:t>‪Mr Peyman Bakhshayesh‬</w:t>
      </w:r>
    </w:p>
    <w:p>
      <w:pPr>
        <w:spacing w:line="300" w:lineRule="auto" w:after="120" w:before="0"/>
        <w:ind w:firstLine="0"/>
        <w:jc w:val="start"/>
        <w:keepNext/>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تاریخ: ۳ ژوئن ۲۰۲۶</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یادداشت روش‌شناختی: این مقاله از متن اولیه ارائه‌شده به عنوان چارچوب تحلیلی استفاده می‌کند، اما برای پرهیز از داوری‌های اثبات‌نشده، میان «واقعیت تاریخی»، «برداشت اجتماعی» و «تحلیل سیاسی» تمایز می‌گذارد. هدف مقاله، ارائه نقشه‌ای برای کاهش بی‌اعتمادی و تقویت تشکل‌گرایی مدنی است، نه تخریب گروه‌های سیاسی یا دعوت به خشونت.</w:t>
      </w:r>
    </w:p>
    <w:p>
      <w:pPr>
        <w:keepNext w:val="0"/>
        <w:keepLines w:val="0"/>
        <w:widowControl/>
        <w:bidi w:val="1"/>
        <w:spacing w:line="300" w:lineRule="auto" w:after="120" w:before="0"/>
        <w:ind w:firstLine="340"/>
        <w:jc w:val="start"/>
        <w:rPr>
          <w:rFonts w:ascii="Noto Naskh Arabic" w:hAnsi="Noto Naskh Arabic" w:cs="Noto Naskh Arabic" w:eastAsia="Noto Naskh Arabic"/>
          <w:sz w:val="26"/>
          <w:szCs w:val="26"/>
          <w:b w:val="0"/>
          <w:bCs w:val="0"/>
          <w:i w:val="0"/>
          <w:iCs w:val="0"/>
          <w:rtl w:val="1"/>
          <w:lang w:val="fa-IR" w:bidi="fa-IR"/>
          <w:color w:val="000000"/>
        </w:rPr>
      </w:pP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چکیده</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مهم‌ترین بحران جنبش شیر و خورشید و بخش وسیع‌تری از جنبش رهایی ایرانیان، صرفاً کمبود شعار، چهره، رسانه یا نارضایتی اجتماعی نیست؛ بحران اصلی، بحران اعتماد است. این بحران از چند منشأ هم‌زمان تغذیه می‌کند: خاطره تاریخی ائتلاف‌های شکننده میان نیروهای چپ و اسلام‌گرا در انقلاب ۱۳۵۷، تجربه خشونت سیاسی و سازمان‌های مسلح، شکاف‌ها و انشعابات مکرر در جریان‌های چپ ایرانی، عملکرد سرکوبگر جمهوری اسلامی، ترس از نفوذ امنیتی، و ضعف آموزش سیاسی عمومی در میان بخش‌هایی از جامعه و دیاسپورا. در چنین وضعیتی، افراد به‌جای ورود سازمان‌یافته به سیاست، یا از سیاست فاصله می‌گیرند یا با بدگمانی افراطی وارد آن می‌شوند. نتیجه، کاهش ظرفیت ائتلاف‌سازی، تضعیف شبکه‌های محلی، افزایش اتهام‌زنی و رشد سیاست هویتی و قبیله‌ای است. مقاله حاضر با اتکا به تاریخ سیاسی ایران، نظریه‌های اعتماد و سرمایه اجتماعی، و تجربه گذارهای دموکراتیک، نشان می‌دهد که حل بحران اعتماد باید از پایین جامعه آغاز شود: آموزش سیاسی، شفافیت سازمانی، آزمون‌های اخلاقی و رفتاری برای فعالان، سازوکارهای راستی‌آزمایی، شوراهای محلی مورد اعتماد، منشور رفتاری ضدخشونت، و تفکیک نقش رهبر دوران گذار از نقش حزب سیاسی. در این چارچوب، نقش شاهزاده رضا پهلوی می‌تواند نه به‌عنوان رهبر یک جناح، بلکه به‌عنوان نماد آشتی ملی، تسهیل‌کننده گذار و حافظ صندوق رأی تعریف شود؛ نقشی که فقط در صورت حفظ فاصله از افراط‌گرایی، گذشته‌گرایی و انحصارطلبی سیاسی می‌تواند اعتماد عمومی را افزایش دهد.</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کلیدواژه‌ها: جنبش شیر و خورشید؛ بحران اعتماد؛ اپوزیسیون ایرانی؛ سرمایه اجتماعی؛ دیاسپورا؛ پادشاهی مشروطه؛ گذار دموکراتیک؛ رضا پهلوی؛ تشکل‌گرایی مدنی.</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۱. مقدمه: چرا اعتماد مسئله مرکزی است؟</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جنبش‌های سیاسی، نارضایتی به‌تنهایی برای پیروزی کافی نیست. جامعه‌ای ممکن است از نظر اقتصادی فرسوده، از نظر سیاسی سرکوب‌شده و از نظر اخلاقی از حکومت منزجر باشد، اما تا زمانی که مردم به یکدیگر، به شبکه‌های مدنی، به پیام‌رسانان سیاسی و به مسیر آینده اعتماد نکنند، نارضایتی به سازمان پایدار تبدیل نمی‌شود. اعتماد در این معنا یک احساس ساده یا خوش‌بینی خام نیست؛ اعتماد نوعی زیرساخت اجتماعی است که اجازه می‌دهد فرد هزینه بدهد، وقت بگذارد، با دیگران همکاری کند و مطمئن باشد که از او سوءاستفاده نخواهد شد.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ایران، بحران اعتماد عمق تاریخی دارد. تجربه انقلاب ۱۳۵۷، هم‌نشینی نیروهای ناهمگون، ظهور اسلام سیاسی، سرکوب نیروهای غیرحکومتی پس از انقلاب، تجربه سازمان‌های مسلح و تبعید، و سپس چهل‌وهفت سال حکومت امنیتی، همگی به جامعه ایرانی آموخته‌اند که سیاست می‌تواند خطرناک، فریبنده و پرهزینه باشد. در دیاسپورا نیز همین روان‌شناسی با شدت دیگری ادامه دارد: افراد از نفوذ امنیتی، از اتهام‌زنی، از تصاحب جنبش توسط گروه‌های ایدئولوژیک، و از سوءاستفاده تبلیغاتی می‌ترسند.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جنبش شیر و خورشید، اگر بخواهد از سطح هیجان و تجمع به سطح سازمان سیاسی و مدنی پایدار برسد، ناچار است بحران اعتماد را به‌عنوان مسئله اول خود تعریف کند. این بحران، اگر فهم و مدیریت شود، می‌تواند به نقطه شروع بلوغ سیاسی تبدیل شود؛ اما اگر انکار شود، می‌تواند جنبش را از درون به چند دسته بدبین، خشمگین، متهم‌کننده و بی‌عمل تقسیم کند.</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۲. زمینه تاریخی بی‌اعتمادی سیاسی در ایران معاصر</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بی‌اعتمادی ایرانیان نسبت به سیاست، محصول بی‌سوادی سیاسی ذاتی نیست؛ محصول تاریخی است که در آن سیاست بارها با زندان، حذف، جنگ داخلی، تبعید، خشونت، اعدام، خیانت ادراک‌شده و شکست گره خورده است. برای فهم این وضعیت باید چند گره تاریخی را از هم جدا کرد.</w:t>
      </w:r>
    </w:p>
    <w:p>
      <w:pPr>
        <w:pStyle w:val="Heading2"/>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۲.۱. حزب توده و مسئله وابستگی ایدئولوژیک</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حزب توده ایران از مهم‌ترین سازمان‌های چپ در ایران قرن بیستم بود و در فضای پس از اشغال ایران در جنگ جهانی دوم رشد کرد. تاریخ حزب توده برای بسیاری از ایرانیان با دو تصویر متضاد همراه است: از یک‌سو، تصویر روشنفکران، افسران، معلمان و فعالانی که علیه استبداد و برای عدالت اجتماعی فعالیت می‌کردند؛ از سوی دیگر، تصویر نیرویی که به دلیل نزدیکی به شوروی، استقلال ملی آن مورد تردید قرار گرفت. منابع تاریخی نشان می‌دهند که بحران‌های حزب توده پس از ماجرای آذربایجان و کردستان، و نیز مسئله امتیاز نفت شمال و رابطه با شوروی، به ریزش و اختلافات جدی درون حزب انجامید [۱]. این سابقه باعث شد در حافظه سیاسی بخشی از جامعه، چپ ایرانی نه صرفاً به‌عنوان یک جریان عدالت‌خواه، بلکه به‌عنوان جریانی مشکوک به وابستگی خارجی دیده شود.</w:t>
      </w:r>
    </w:p>
    <w:p>
      <w:pPr>
        <w:pStyle w:val="Heading2"/>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۲.۲. مجاهدین خلق: از مبارزه ضدشاه تا بحران اعتبار ملی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سازمان مجاهدین خلق، در دهه ۱۳۴۰ با ترکیبی از اسلام انقلابی، عدالت‌خواهی و مبارزه ضدسلطنتی شکل گرفت. پس از انقلاب، این سازمان به یکی از رقبای مهم جمهوری اسلامی تبدیل شد. در سال ۱۳۶۰ تقابل میان سازمان و حکومت وارد مرحله مسلحانه شد و پس از سرکوب گسترده، رهبری سازمان به خارج منتقل شد. منابع تاریخ سیاسی می‌نویسند که سازمان پس از خروج از ایران، در عراق مستقر شد و در دوران جنگ ایران و عراق، اتحاد آشکار آن با عراق به اعتبار ملی سازمان لطمه سنگینی زد [۲]. این تجربه در حافظه ایرانیان به یک الگوی بی‌اعتمادی تبدیل شد: ترس از این که یک گروه سیاسی با شعار آزادی آغاز کند، اما به تدریج به فرقه، ارتش ایدئولوژیک یا نیروی وابسته به قدرت خارجی تبدیل شود.</w:t>
      </w:r>
    </w:p>
    <w:p>
      <w:pPr>
        <w:pStyle w:val="Heading2"/>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۲.۳. فداییان خلق، انشعاب، و سیاست فرقه‌ای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سازمان چریک‌های فدایی خلق ایران نیز از مهم‌ترین جریان‌های چپ مسلح پیش از انقلاب بود. منابع تاریخی درباره چپ ایرانی پس از ۱۳۵۳ نشان می‌دهند که این سازمان بر نظریه «تبلیغ مسلحانه» و مبارزه چریکی تکیه داشت و پس از انقلاب با گسترش ناگهانی پایگاه اجتماعی مواجه شد [۳]. اما به‌سرعت اختلافات ایدئولوژیک و تاکتیکی آن را دچار چندپارگی کرد. در سال ۱۳۵۹، سازمان به دو گرایش اکثریت و اقلیت تقسیم شد؛ اکثریت نگاه نزدیک‌تری به حزب توده و تحلیل ضد امپریالیستی از جمهوری اسلامی داشت، درحالی‌که اقلیت خط مقابله شدیدتر با حکومت را دنبال می‌کرد [۳]. این الگوی انشعاب مکرر به جامعه آموخت که بسیاری از سازمان‌ها، پیش از آن‌که بتوانند کشور را اداره کنند، در اداره اختلافات درونی خود ناتوان‌اند.</w:t>
      </w:r>
    </w:p>
    <w:p>
      <w:pPr>
        <w:pStyle w:val="Heading2"/>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۲.۴. کومله، حزب کمونیست ایران و جریان‌های حکمتی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کردستان ایران، کومله و سپس حزب کمونیست ایران نقشی مهم در تاریخ چپ ایرانی و کردی داشتند. در دهه‌های بعد، منشعب‌شدن جریان‌های مارکسیستی و شکل‌گیری حزب کمونیست کارگری ایران با محوریت منصور حکمت، سپس پیدایش گرایش‌های حکمتی و خط رسمی حکمتی، نمونه دیگری از پیچیدگی، فرقه‌گرایی و انشعاب در اپوزیسیون چپ بود. در سطح نظری، این انشعاب‌ها ممکن است نشان‌دهنده پویایی فکری باشند؛ اما در سطح روان‌شناسی اجتماعی، برای شهروند معمولی اغلب به شکل سردرگمی و بی‌اعتمادی دیده می‌شوند: مردم نمی‌دانند کدام نام، کدام پرچم، کدام رسانه و کدام رهبر واقعاً نماینده چه چیزی است.</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۳. جمهوری اسلامی و تولید ساختاری بی‌اعتمادی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بی‌اعتمادی فقط محصول عملکرد اپوزیسیون نیست؛ جمهوری اسلامی به‌صورت ساختاری بی‌اعتمادی تولید کرده است. نظام‌های امنیتی برای بقا به تکه‌تکه کردن جامعه نیاز دارند: خانواده به خانواده شک می‌کند، فعال به فعال، گروه به گروه، و دیاسپورا به داخل کشور. </w:t>
      </w:r>
      <w:r>
        <w:rPr>
          <w:rFonts w:ascii="Noto Naskh Arabic" w:hAnsi="Noto Naskh Arabic" w:cs="Noto Naskh Arabic" w:eastAsia="Noto Naskh Arabic"/>
          <w:sz w:val="26"/>
          <w:szCs w:val="26"/>
          <w:b w:val="0"/>
          <w:bCs w:val="0"/>
          <w:i w:val="0"/>
          <w:iCs w:val="0"/>
          <w:rtl w:val="0"/>
          <w:lang w:val="en-GB" w:bidi="fa-IR"/>
          <w:color w:val="000000"/>
        </w:rPr>
        <w:t xml:space="preserve">‪Freedom House‬ </w:t>
      </w:r>
      <w:r>
        <w:rPr>
          <w:rFonts w:ascii="Noto Naskh Arabic" w:hAnsi="Noto Naskh Arabic" w:cs="Noto Naskh Arabic" w:eastAsia="Noto Naskh Arabic"/>
          <w:sz w:val="26"/>
          <w:szCs w:val="26"/>
          <w:b w:val="0"/>
          <w:bCs w:val="0"/>
          <w:i w:val="0"/>
          <w:iCs w:val="0"/>
          <w:rtl w:val="1"/>
          <w:lang w:val="fa-IR" w:bidi="fa-IR"/>
          <w:color w:val="000000"/>
        </w:rPr>
        <w:t>در گزارش ۲۰۲۶ ایران را «غیرآزاد» ارزیابی کرده و توضیح می‌دهد که انتخابات ایران به دلیل نقش شورای نگهبان و نهادهای غیرانتخابی از استانداردهای دموکراتیک فاصله دارد؛ همچنین نهادهای امنیتی و قضایی در سرکوب مخالفان و محدودکردن آزادی‌های مدنی نقش دارند [۴]. در چنین محیطی، ترس از نفوذ، جاسوسی، پرونده‌سازی و مجازات، رفتاری غیرمنطقی نیست؛ واکنشی است به تجربه طولانی سرکوب.</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دیاسپورا، مسئله پیچیده‌تر می‌شود. از یک سو، ایرانیان خارج کشور امنیت نسبی دارند؛ از سوی دیگر، شکاف‌های هویتی، خاطرات سیاسی، رقابت رسانه‌ای، اختلافات نسلی و ترس از برچسب‌خوردن، فضای اعتماد را دشوار می‌کند. جمهوری اسلامی نیز با تهدید، ارعاب، تخریب شخصیت، اخبار جعلی و عملیات روانی می‌تواند این شکاف‌ها را تشدید کند. بنابراین جنبش رهایی ایرانیان باید بفهمد که بی‌اعتمادی نه صرفاً عیب اخلاقی افراد، بلکه بخشی از میدان نبرد سیاسی است.</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۴. آناتومی بی‌اعتمادی در جنبش شیر و خورشید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جنبش شیر و خورشید، بی‌اعتمادی چند لایه دارد. لایه نخست، بی‌اعتمادی به گروه‌های سیاسی قدیمی است: ترس از چپ، کمونیسم، مجاهدین، اسلام‌گرایی پنهان، نفوذ امنیتی یا پروژه‌های خارجی. لایه دوم، بی‌اعتمادی به فعالان جدید است: هر چهره تازه‌ای ممکن است «مشکوک» تلقی شود. لایه سوم، بی‌اعتمادی درون‌پادشاهی‌خواهی است: سنتی‌ها، گذشته‌گرایان، مشروطه‌خواهان، عملگرایان سیاسی، ملی‌گرایان تندرو و لیبرال‌دموکرات‌ها، همگی ممکن است خود را زیر یک پرچم ببینند اما آینده متفاوتی بخواهند. لایه چهارم، بی‌اعتمادی نسبت به خود شاهزاده رضا پهلوی است: برخی انتظار دارند او سازماندهی از بالا انجام دهد؛ برخی دیگر دقیقاً به دلیل همین انتظار از او فاصله می‌گیرند، چون نگران بازتولید تمرکز قدرت هستند.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این وضعیت پارادوکسیکال است. از شاهزاده انتظار می‌رود هم رهبر باشد، هم بالاتر از جناح‌ها بماند؛ هم سازماندهی کند، هم حزب نسازد؛ هم به خواست پادشاهی‌خواهان پاسخ دهد، هم جمهوری‌خواهان سکولار و نیروهای میانه را نترساند؛ هم نماد تاریخی باشد، هم پروژه آینده‌محور ارائه کند. حل این پارادوکس بدون اعتماد ممکن نیست.</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۵. دو تیپ پادشاهی‌خواهی: گذشته‌گرا و آینده‌نگر</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درون پادشاهی‌خواهی ایرانی دست‌کم دو گرایش قابل مشاهده است. نخست، پادشاهی‌خواهی سنتی و گذشته‌گراست. این گرایش عمدتاً بر حافظه شکوه گذشته، نظم ارتشی، توسعه دوره پهلوی، تصاویر نمادین، آرامگاه محمدرضا شاه در مصر، و نوستالژی ایران پیش از انقلاب تکیه می‌کند. این حافظه بخشی از هویت سیاسی است و نمی‌توان آن را نادیده گرفت؛ اما اگر به تنها زبان جنبش تبدیل شود، برای نسل‌های جوان، اقلیت‌ها، جمهوری‌خواهان سکولار، زنان، طبقات فرودست و نیروهای میانه جذابیت کافی نخواهد داشت.</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دوم، پادشاهی‌خواهی آینده‌نگر و عملگراست. این گرایش شاهزاده رضا پهلوی را نه به‌عنوان رهبر یک حزب سلطنت‌طلب، بلکه به‌عنوان رهبر دوران گذار، نماد ملی و ضامن رفتن به صندوق رأی می‌بیند. برای این جریان، پادشاهی مشروطه یک راه‌حل میانه و نهادی برای مسئله ملی ایران است؛ اما مشروعیت نهایی باید از انتخابات آزاد و قانون اساسی آینده بیاید. این دیدگاه با الگوی گذار اسپانیا قابل مقایسه است؛ جایی که خوان کارلوس در گذار از فرانکیسم به دموکراسی نقشی محوری در تثبیت مسیر مشروطه و پارلمانی بازی کرد [۵]. قیاس ایران و اسپانیا نباید ساده‌سازی شود، اما درس مهم آن روشن است: چهره نمادین گذار وقتی مؤثر است که خود را بالاتر از انتقام، جناح و بازگشت اقتدارگرایی قرار دهد.</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۶. خطر راست افراطی و سیاست هویتی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یکی از تهدیدهای جدی برای اعتمادسازی، کشیده‌شدن جنبش شیر و خورشید به سمت راست افراطی، نژادگرایی، عرب‌ستیزی، اسلام‌ستیزی کور، نفرت از مهاجران، فوبیای دائمی از انگلستان یا غرب، و زبان تهدیدآمیز علیه منتقدان است. چنین زبانی شاید در شبکه‌های اجتماعی هیجان تولید کند، اما برای گذار ملی فاجعه‌بار است. ایران آینده، اگر قرار است سکولار و دموکراتیک باشد، نمی‌تواند با نفرت جمعی از عرب، مسلمان، چپ، جمهوری‌خواه یا اقلیت قومی ساخته شود. نقد اسلام سیاسی ضروری است؛ اما نقد ایدئولوژی با نفرت از مردم مسلمان یا عرب تفاوت دارد. دفاع از تمامیت ارضی ضروری است؛ اما دفاع از تمامیت ارضی با تحقیر اقوام ایرانی متفاوت است.</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سطح عملی، هرچه جریان‌های افراطی بیشتر خود را به شاهزاده نزدیک نشان دهند، هزینه اعتماد برای میانه‌روها افزایش می‌یابد. مخالفان جمهوری اسلامی که خواهان دموکراسی‌اند، باید مطمئن شوند که گذار سیاسی به انتقام، حذف، نظامی‌گری یا اقتدارگرایی جدید ختم نخواهد شد. بنابراین فاصله‌گذاری شفاف با خشونت کلامی، تهدید، ارعاب منتقدان و نوستالژی سرکوب، نه یک ژست اخلاقی بلکه شرط راهبردی اعتمادسازی است.</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۷. اعتماد از نگاه علوم اجتماعی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علوم اجتماعی، اعتماد بخشی از سرمایه اجتماعی است. سرمایه اجتماعی یعنی شبکه‌ها، هنجارها و روابطی که همکاری را ممکن می‌کنند. رابرت پاتنام نشان داد جوامعی که شبکه‌های مدنی، انجمن‌ها و هنجارهای همکاری قوی‌تری دارند، نهادهای دموکراتیک کارآمدتری تولید می‌کنند [۶]. فرانسیس فوکویاما نیز اعتماد را یکی از منابع اصلی توانایی جامعه برای سازماندهی اقتصادی و سیاسی می‌داند [۷]. در جنبش‌های اجتماعی، اعتماد به «هزینه مشارکت» مربوط می‌شود: اگر فرد فکر کند تنها خواهد ماند، فریب خواهد خورد، پرونده خواهد شد، یا پس از پیروزی حذف می‌شود، وارد کنش جمعی پایدار نمی‌شود.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نظریه‌های کنش جمعی نیز نشان می‌دهند که میان نارضایتی، سازمان و بسیج تفاوت وجود دارد. نارضایتی ماده خام است؛ سازمان، ظرف است؛ اعتماد، چسبی است که ظرف را نگه می‌دارد. بدون اعتماد، هر اختلاف کوچک به اتهام خیانت تبدیل می‌شود؛ هر پرسش، نفوذ تلقی می‌شود؛ هر نقد، دشمنی فرض می‌شود؛ و هر چهره جدید، پروژه امنیتی دیده می‌شود. در چنین وضعیتی، رژیم مستقر نیازی ندارد همیشه سرکوب فیزیکی کند؛ کافی است بی‌اعتمادی را تغذیه کند.</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۸. نقش شاهزاده رضا پهلوی: رهبر گذار یا رهبر جناح؟</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وب‌سایت رسمی شاهزاده رضا پهلوی مأموریت او را «گذار از جمهوری اسلامی به یک حکومت ملی، سکولار و دموکراتیک» معرفی می‌کند و پنج ستون راهبردی را برجسته می‌سازد: فشار حداکثری بر جمهوری اسلامی، حمایت حداکثری از مردم ایران، ریزش حداکثری از درون رژیم، سازماندهی حداکثری ایرانیان، و پروژه شکوفایی ایران [۸]. در گزارش </w:t>
      </w:r>
      <w:r>
        <w:rPr>
          <w:rFonts w:ascii="Noto Naskh Arabic" w:hAnsi="Noto Naskh Arabic" w:cs="Noto Naskh Arabic" w:eastAsia="Noto Naskh Arabic"/>
          <w:sz w:val="26"/>
          <w:szCs w:val="26"/>
          <w:b w:val="0"/>
          <w:bCs w:val="0"/>
          <w:i w:val="0"/>
          <w:iCs w:val="0"/>
          <w:rtl w:val="0"/>
          <w:lang w:val="en-GB" w:bidi="fa-IR"/>
          <w:color w:val="000000"/>
        </w:rPr>
        <w:t xml:space="preserve">‪NUFDI‬ </w:t>
      </w:r>
      <w:r>
        <w:rPr>
          <w:rFonts w:ascii="Noto Naskh Arabic" w:hAnsi="Noto Naskh Arabic" w:cs="Noto Naskh Arabic" w:eastAsia="Noto Naskh Arabic"/>
          <w:sz w:val="26"/>
          <w:szCs w:val="26"/>
          <w:b w:val="0"/>
          <w:bCs w:val="0"/>
          <w:i w:val="0"/>
          <w:iCs w:val="0"/>
          <w:rtl w:val="1"/>
          <w:lang w:val="fa-IR" w:bidi="fa-IR"/>
          <w:color w:val="000000"/>
        </w:rPr>
        <w:t>از نشست اپوزیسیون نیز آمده است که او خود را در پی مقام سیاسی شخصی معرفی نکرده و نقش خود را تسهیل شرایط حکمرانی دموکراتیک و هدایت دوران گذار تا انتخابات آزاد دانسته است [۹].</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از منظر بحران اعتماد، همین نکته کلیدی است: اگر شاهزاده رهبر یک جناح تلقی شود، ظرفیت جذب ملی او کاهش می‌یابد؛ اما اگر رهبر دوران گذار، نماد آشتی ملی و حافظ صندوق رأی دیده شود، می‌تواند برای گروه‌هایی فراتر از پادشاهی‌خواهان قابل قبول‌تر شود. این نقش مستلزم سه شرط است: نخست، فاصله از افراط‌گرایی؛ دوم، شفافیت درباره سازوکارهای دوران گذار؛ سوم، حمایت از تشکل‌گرایی از پایین به جای جانشین‌کردن آن با فرمان از بالا.</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۹. راهبردهای عملی برای حل بحران اعتماد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حل بحران اعتماد با شعار «به هم اعتماد کنید» ممکن نیست. اعتماد باید طراحی، تمرین و راستی‌آزمایی شود. در زیر، مجموعه‌ای از سازوکارهای عملی پیشنهاد می‌شود.</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آموزش سیاسی منظم: کلاس‌های کوتاه درباره تاریخ احزاب ایران، انقلاب ۱۳۵۷، چپ ایرانی، اسلام سیاسی، مجاهدین خلق، مفهوم پادشاهی مشروطه، جمهوری‌خواهی سکولار، فدرالیسم، تمامیت ارضی، حقوق اقلیت‌ها و قانون اساسی. هدف آموزش، تولید سرباز ایدئولوژیک نیست؛ هدف کاهش ترس ناشی از ناآگاهی است.</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منشور رفتاری محلی: هر گروه شهری یا دیاسپورایی باید منشوری کوتاه داشته باشد: عدم خشونت، عدم تهدید منتقدان، عدم نژادپرستی، احترام به صندوق رأی، شفافیت مالی، و تفکیک نقد سیاسی از تخریب شخصی.</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آزمون اعتماد مرحله‌ای: اعتماد نباید مطلق و ناگهانی باشد. افراد می‌توانند ابتدا در کارهای کم‌ریسک همکاری کنند، سپس مسئولیت‌های بیشتر بگیرند. این همان اعتماد تدریجی و مبتنی بر عملکرد است.</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شوراهای محلی مورد اعتماد: در هر شهر، چند چهره با اعتبار اجتماعی، سابقه حرفه‌ای، خوش‌نامی و رفتار متعادل می‌توانند نقش میانجی را بازی کنند؛ نه پلیس سیاسی، نه رهبر فرقه، بلکه داور مدنی.</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راستی‌آزمایی بدون پارانویای سیاسی: پرسیدن سابقه، منابع مالی، رابطه سازمانی و مواضع گذشته حق هر گروه است؛ اما اتهام‌زنی بدون سند، سرمایه اجتماعی را نابود می‌کند.</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شفافیت مالی: هر هزینه عمومی، کمک مالی، اجاره سالن، چاپ پوستر و تبلیغات باید ثبت و قابل گزارش باشد. ابهام مالی یکی از سریع‌ترین راه‌های تخریب اعتماد است.</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تفکیک نقش‌ها: فعال رسانه‌ای، سازمان‌دهنده محلی، سخنگوی سیاسی، مشاور حقوقی و رهبر نمادین یکسان نیستند. اختلاط نقش‌ها به سوءتفاهم و جنگ قدرت می‌انجامد.</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پرهیز از تسخیر جنبش توسط نوستالژی: احترام به تاریخ پهلوی مشروع است، اما پروژه آینده باید درباره قانون، اقتصاد، آزادی، نهادها و حقوق شهروندی باشد.</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گفت‌وگوی کنترل‌شده با نیروهای غیرپادشاهی‌خواه: جمهوری‌خواهان سکولار، لیبرال‌ها، ملی‌گرایان دموکرات و نیروهای میانه اگر به تمامیت ارضی، سکولاریسم و صندوق رأی متعهد باشند، باید در گفت‌وگو باقی بمانند.</w:t>
      </w:r>
    </w:p>
    <w:p>
      <w:pPr>
        <w:pStyle w:val="ListBullet"/>
        <w:spacing w:line="300" w:lineRule="auto" w:after="120" w:before="0"/>
        <w:ind w:left="0" w:right="340" w:hanging="198"/>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سواد امنیت دیجیتال و رفتاری: آموزش درباره امنیت ارتباطات، حفاظت از اطلاعات شخصی، شناسایی عملیات روانی و مقابله با اخبار جعلی باید بخشی از برنامه ثابت باشد.</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۱۰. مدل پیشنهادی اعتمادسازی: از ترس به تشکل</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برای تبدیل بی‌اعتمادی به همکاری، می‌توان یک مدل پنج‌مرحله‌ای پیشنهاد کرد:</w:t>
      </w:r>
    </w:p>
    <w:tbl>
      <w:tblPr>
        <w:tblW w:type="auto" w:w="0"/>
        <w:tblLayout w:type="fixed"/>
        <w:tblLook w:firstColumn="1" w:firstRow="1" w:lastColumn="0" w:lastRow="0" w:noHBand="0" w:noVBand="1" w:val="04A0"/>
        <w:jc w:val="righ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bidiVisual w:val="1"/>
      </w:tblPr>
      <w:tblGrid>
        <w:gridCol w:w="1701"/>
        <w:gridCol w:w="2948"/>
        <w:gridCol w:w="5323"/>
      </w:tblGrid>
      <w:tr>
        <w:trPr>
          <w:tblHeader w:val="1"/>
          <w:cantSplit/>
        </w:trPr>
        <w:tc>
          <w:tcPr>
            <w:tcW w:type="dxa" w:w="1701"/>
            <w:vAlign w:val="center"/>
            <w:shd w:fill="E6E6E6"/>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1"/>
                <w:bCs w:val="1"/>
                <w:i w:val="0"/>
                <w:iCs w:val="0"/>
                <w:rtl w:val="1"/>
                <w:lang w:val="fa-IR" w:bidi="fa-IR"/>
                <w:color w:val="000000"/>
              </w:rPr>
            </w:pPr>
            <w:r>
              <w:rPr>
                <w:rFonts w:ascii="Noto Naskh Arabic" w:hAnsi="Noto Naskh Arabic" w:cs="Noto Naskh Arabic" w:eastAsia="Noto Naskh Arabic"/>
                <w:sz w:val="26"/>
                <w:szCs w:val="26"/>
                <w:b w:val="1"/>
                <w:bCs w:val="1"/>
                <w:i w:val="0"/>
                <w:iCs w:val="0"/>
                <w:rtl w:val="1"/>
                <w:lang w:val="fa-IR" w:bidi="fa-IR"/>
                <w:color w:val="000000"/>
              </w:rPr>
              <w:t>مرحله</w:t>
            </w:r>
          </w:p>
        </w:tc>
        <w:tc>
          <w:tcPr>
            <w:tcW w:type="dxa" w:w="2948"/>
            <w:vAlign w:val="center"/>
            <w:shd w:fill="E6E6E6"/>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1"/>
                <w:bCs w:val="1"/>
                <w:i w:val="0"/>
                <w:iCs w:val="0"/>
                <w:rtl w:val="1"/>
                <w:lang w:val="fa-IR" w:bidi="fa-IR"/>
                <w:color w:val="000000"/>
              </w:rPr>
            </w:pPr>
            <w:r>
              <w:rPr>
                <w:rFonts w:ascii="Noto Naskh Arabic" w:hAnsi="Noto Naskh Arabic" w:cs="Noto Naskh Arabic" w:eastAsia="Noto Naskh Arabic"/>
                <w:sz w:val="26"/>
                <w:szCs w:val="26"/>
                <w:b w:val="1"/>
                <w:bCs w:val="1"/>
                <w:i w:val="0"/>
                <w:iCs w:val="0"/>
                <w:rtl w:val="1"/>
                <w:lang w:val="fa-IR" w:bidi="fa-IR"/>
                <w:color w:val="000000"/>
              </w:rPr>
              <w:t>هدف</w:t>
            </w:r>
          </w:p>
        </w:tc>
        <w:tc>
          <w:tcPr>
            <w:tcW w:type="dxa" w:w="5323"/>
            <w:vAlign w:val="center"/>
            <w:shd w:fill="E6E6E6"/>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1"/>
                <w:bCs w:val="1"/>
                <w:i w:val="0"/>
                <w:iCs w:val="0"/>
                <w:rtl w:val="1"/>
                <w:lang w:val="fa-IR" w:bidi="fa-IR"/>
                <w:color w:val="000000"/>
              </w:rPr>
            </w:pPr>
            <w:r>
              <w:rPr>
                <w:rFonts w:ascii="Noto Naskh Arabic" w:hAnsi="Noto Naskh Arabic" w:cs="Noto Naskh Arabic" w:eastAsia="Noto Naskh Arabic"/>
                <w:sz w:val="26"/>
                <w:szCs w:val="26"/>
                <w:b w:val="1"/>
                <w:bCs w:val="1"/>
                <w:i w:val="0"/>
                <w:iCs w:val="0"/>
                <w:rtl w:val="1"/>
                <w:lang w:val="fa-IR" w:bidi="fa-IR"/>
                <w:color w:val="000000"/>
              </w:rPr>
              <w:t>ابزار عملی</w:t>
            </w:r>
          </w:p>
        </w:tc>
      </w:tr>
      <w:tr>
        <w:trPr>
          <w:cantSplit/>
        </w:trPr>
        <w:tc>
          <w:tcPr>
            <w:tcW w:type="dxa" w:w="1701"/>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۱. شناخت</w:t>
            </w:r>
          </w:p>
        </w:tc>
        <w:tc>
          <w:tcPr>
            <w:tcW w:type="dxa" w:w="2948"/>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کاهش ترس ناشی از ناآگاهی</w:t>
            </w:r>
          </w:p>
        </w:tc>
        <w:tc>
          <w:tcPr>
            <w:tcW w:type="dxa" w:w="5323"/>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کلاس تاریخ سیاسی، معرفی جریان‌ها، بحث کنترل‌شده</w:t>
            </w:r>
          </w:p>
        </w:tc>
      </w:tr>
      <w:tr>
        <w:trPr>
          <w:cantSplit/>
        </w:trPr>
        <w:tc>
          <w:tcPr>
            <w:tcW w:type="dxa" w:w="1701"/>
            <w:vAlign w:val="center"/>
            <w:shd w:fill="F7F7F7"/>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۲. راستی‌آزمایی</w:t>
            </w:r>
          </w:p>
        </w:tc>
        <w:tc>
          <w:tcPr>
            <w:tcW w:type="dxa" w:w="2948"/>
            <w:vAlign w:val="center"/>
            <w:shd w:fill="F7F7F7"/>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جلوگیری از نفوذ و سوءاستفاده بدون اتهام‌زنی کور</w:t>
            </w:r>
          </w:p>
        </w:tc>
        <w:tc>
          <w:tcPr>
            <w:tcW w:type="dxa" w:w="5323"/>
            <w:vAlign w:val="center"/>
            <w:shd w:fill="F7F7F7"/>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سابقه‌سنجی، شفافیت مالی، معرف‌های معتبر</w:t>
            </w:r>
          </w:p>
        </w:tc>
      </w:tr>
      <w:tr>
        <w:trPr>
          <w:cantSplit/>
        </w:trPr>
        <w:tc>
          <w:tcPr>
            <w:tcW w:type="dxa" w:w="1701"/>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۳. همکاری کم‌ریسک</w:t>
            </w:r>
          </w:p>
        </w:tc>
        <w:tc>
          <w:tcPr>
            <w:tcW w:type="dxa" w:w="2948"/>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ساختن اعتماد رفتاری</w:t>
            </w:r>
          </w:p>
        </w:tc>
        <w:tc>
          <w:tcPr>
            <w:tcW w:type="dxa" w:w="5323"/>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جلسه عمومی، کار رسانه‌ای، جمع‌آوری کمک شفاف</w:t>
            </w:r>
          </w:p>
        </w:tc>
      </w:tr>
      <w:tr>
        <w:trPr>
          <w:cantSplit/>
        </w:trPr>
        <w:tc>
          <w:tcPr>
            <w:tcW w:type="dxa" w:w="1701"/>
            <w:vAlign w:val="center"/>
            <w:shd w:fill="F7F7F7"/>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۴. نهادسازی محلی</w:t>
            </w:r>
          </w:p>
        </w:tc>
        <w:tc>
          <w:tcPr>
            <w:tcW w:type="dxa" w:w="2948"/>
            <w:vAlign w:val="center"/>
            <w:shd w:fill="F7F7F7"/>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تبدیل رابطه شخصی به سازوکار پایدار</w:t>
            </w:r>
          </w:p>
        </w:tc>
        <w:tc>
          <w:tcPr>
            <w:tcW w:type="dxa" w:w="5323"/>
            <w:vAlign w:val="center"/>
            <w:shd w:fill="F7F7F7"/>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شورای شهری، آیین‌نامه، انتخابات داخلی</w:t>
            </w:r>
          </w:p>
        </w:tc>
      </w:tr>
      <w:tr>
        <w:trPr>
          <w:cantSplit/>
        </w:trPr>
        <w:tc>
          <w:tcPr>
            <w:tcW w:type="dxa" w:w="1701"/>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۵. اتصال ملی</w:t>
            </w:r>
          </w:p>
        </w:tc>
        <w:tc>
          <w:tcPr>
            <w:tcW w:type="dxa" w:w="2948"/>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هم‌افزایی گروه‌ها بدون تمرکزگرایی افراطی</w:t>
            </w:r>
          </w:p>
        </w:tc>
        <w:tc>
          <w:tcPr>
            <w:tcW w:type="dxa" w:w="5323"/>
            <w:vAlign w:val="center"/>
            <w:shd w:fill="FFFFFF"/>
            <w:tcMar>
              <w:top w:w="100" w:type="dxa"/>
              <w:bottom w:w="100" w:type="dxa"/>
              <w:left w:w="100" w:type="dxa"/>
              <w:right w:w="100" w:type="dxa"/>
            </w:tcMar>
          </w:tcPr>
          <w:p>
            <w:pPr>
              <w:spacing w:line="300" w:lineRule="auto" w:after="6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شبکه‌های شهری، منشور مشترک، هماهنگی پیام</w:t>
            </w:r>
          </w:p>
        </w:tc>
      </w:tr>
    </w:tbl>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۱۱. الزامات اخلاقی و راهبردی جنبش</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اعتمادسازی بدون اخلاق سیاسی ممکن نیست. جنبشی که از اکنون زبان حذف، توهین، تحقیر و تهدید را عادی کند، پس از پیروزی نیز به سختی می‌تواند دموکراسی بسازد. بنابراین جنبش شیر و خورشید باید میان خشم مشروع علیه جمهوری اسلامی و نفرت کور سیاسی تمایز بگذارد. خشم علیه سرکوب، اعدام، فساد، تبعیض و اسلام سیاسی قابل فهم است؛ اما این خشم باید به سازمان، قانون و مسئولیت تبدیل شود، نه به انتقام‌جویی، نژادپرستی یا حذف منتقدان.</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در این چارچوب، پادشاهی مشروطه اگر قرار است راه‌حل میانه باشد، باید «مشروطه» را برجسته کند، نه فقط «پادشاهی» را. مشروطه یعنی محدودیت قدرت، قانون اساسی، پارلمان، قوه قضائیه مستقل، آزادی مطبوعات، انتخابات، حقوق اقلیت‌ها و مسئولیت‌پذیری حکومت. بدون این عناصر، پادشاهی فقط نوستالژی خواهد بود؛ با این عناصر، می‌تواند یکی از گزینه‌های دموکراتیک آینده باشد که مردم درباره آن رأی می‌دهند.</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۱۲. نتیجه‌گیری</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بحران اصلی جنبش شیر و خورشید، بحران اعتماد است؛ بحرانی که ریشه در تاریخ سیاسی ایران، تجربه انقلاب، عملکرد گروه‌های مسلح، انشعاب‌های ایدئولوژیک، سرکوب جمهوری اسلامی و ضعف آموزش سیاسی دارد. این بحران با تبلیغات و شعار حل نمی‌شود؛ با طراحی نهادی، آموزش، شفافیت، منشور رفتاری، راستی‌آزمایی، تشکل محلی و رهبری فراجناحی حل می‌شود.</w:t>
      </w:r>
    </w:p>
    <w:p>
      <w:pPr>
        <w:spacing w:line="300" w:lineRule="auto" w:after="120" w:before="0"/>
        <w:ind w:firstLine="34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اگر مردم ایران و دیاسپورا بتوانند از ترس فلج‌کننده عبور کنند و اعتماد تدریجی و مبتنی بر عملکرد بسازند، تشکل‌گرایی از پایین به بالا ممکن خواهد شد. در چنین وضعیتی، نقش شاهزاده رضا پهلوی می‌تواند به‌جای رهبری یک جناح، به رهبری دوران گذار و آشتی ملی تبدیل شود؛ نقشی که هدف نهایی آن نه تحمیل شکل حکومت، بلکه رساندن کشور به صندوق رأی، قانون اساسی و دولت دموکراتیک است. اعتماد، در نهایت، همان پلی است که نارضایتی را به سازمان، سازمان را به قدرت اجتماعی، و قدرت اجتماعی را به گذار سیاسی تبدیل می‌کند.</w:t>
      </w:r>
    </w:p>
    <w:p>
      <w:pPr>
        <w:pStyle w:val="Heading1"/>
        <w:spacing w:line="300" w:lineRule="auto" w:after="120" w:before="240"/>
        <w:ind w:firstLine="0"/>
        <w:jc w:val="start"/>
        <w:keepNext/>
        <w:keepLines w:val="0"/>
        <w:widowControl/>
        <w:bidi w:val="1"/>
        <w:rPr>
          <w:rFonts w:ascii="Noto Kufi Arabic" w:hAnsi="Noto Kufi Arabic" w:cs="Noto Kufi Arabic" w:eastAsia="Noto Kufi Arabic"/>
          <w:sz w:val="32"/>
          <w:szCs w:val="32"/>
          <w:b w:val="1"/>
          <w:bCs w:val="1"/>
          <w:i w:val="0"/>
          <w:iCs w:val="0"/>
          <w:rtl w:val="1"/>
          <w:lang w:val="fa-IR" w:bidi="fa-IR"/>
          <w:color w:val="000000"/>
        </w:rPr>
      </w:pPr>
      <w:r>
        <w:rPr>
          <w:rFonts w:ascii="Noto Kufi Arabic" w:hAnsi="Noto Kufi Arabic" w:cs="Noto Kufi Arabic" w:eastAsia="Noto Kufi Arabic"/>
          <w:sz w:val="32"/>
          <w:szCs w:val="32"/>
          <w:b w:val="1"/>
          <w:bCs w:val="1"/>
          <w:i w:val="0"/>
          <w:iCs w:val="0"/>
          <w:rtl w:val="1"/>
          <w:lang w:val="fa-IR" w:bidi="fa-IR"/>
          <w:color w:val="000000"/>
        </w:rPr>
        <w:t>منابع</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[۱] </w:t>
      </w:r>
      <w:r>
        <w:rPr>
          <w:rFonts w:ascii="Noto Naskh Arabic" w:hAnsi="Noto Naskh Arabic" w:cs="Noto Naskh Arabic" w:eastAsia="Noto Naskh Arabic"/>
          <w:sz w:val="26"/>
          <w:szCs w:val="26"/>
          <w:b w:val="0"/>
          <w:bCs w:val="0"/>
          <w:i w:val="0"/>
          <w:iCs w:val="0"/>
          <w:rtl w:val="0"/>
          <w:lang w:val="en-GB" w:bidi="fa-IR"/>
          <w:color w:val="000000"/>
        </w:rPr>
        <w:t xml:space="preserve">‪Encyclopaedia Iranica. “Communism ii. In Persia from 1941 to 1953.”‬ </w:t>
      </w:r>
      <w:r>
        <w:rPr>
          <w:rFonts w:ascii="Noto Naskh Arabic" w:hAnsi="Noto Naskh Arabic" w:cs="Noto Naskh Arabic" w:eastAsia="Noto Naskh Arabic"/>
          <w:sz w:val="26"/>
          <w:szCs w:val="26"/>
          <w:b w:val="0"/>
          <w:bCs w:val="0"/>
          <w:i w:val="0"/>
          <w:iCs w:val="0"/>
          <w:rtl w:val="1"/>
          <w:lang w:val="fa-IR" w:bidi="fa-IR"/>
          <w:color w:val="000000"/>
        </w:rPr>
        <w:t>درباره بحران‌های حزب توده، مسئله آذربایجان/کردستان و رابطه با شوروی.</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[۲] </w:t>
      </w:r>
      <w:r>
        <w:rPr>
          <w:rFonts w:ascii="Noto Naskh Arabic" w:hAnsi="Noto Naskh Arabic" w:cs="Noto Naskh Arabic" w:eastAsia="Noto Naskh Arabic"/>
          <w:sz w:val="26"/>
          <w:szCs w:val="26"/>
          <w:b w:val="0"/>
          <w:bCs w:val="0"/>
          <w:i w:val="0"/>
          <w:iCs w:val="0"/>
          <w:rtl w:val="0"/>
          <w:lang w:val="en-GB" w:bidi="fa-IR"/>
          <w:color w:val="000000"/>
        </w:rPr>
        <w:t xml:space="preserve">‪Encyclopedia.com / Encyclopedia of the Modern Middle East and North Africa. “Mojahedin-e Khalq.”‬ </w:t>
      </w:r>
      <w:r>
        <w:rPr>
          <w:rFonts w:ascii="Noto Naskh Arabic" w:hAnsi="Noto Naskh Arabic" w:cs="Noto Naskh Arabic" w:eastAsia="Noto Naskh Arabic"/>
          <w:sz w:val="26"/>
          <w:szCs w:val="26"/>
          <w:b w:val="0"/>
          <w:bCs w:val="0"/>
          <w:i w:val="0"/>
          <w:iCs w:val="0"/>
          <w:rtl w:val="1"/>
          <w:lang w:val="fa-IR" w:bidi="fa-IR"/>
          <w:color w:val="000000"/>
        </w:rPr>
        <w:t>مدخل تاریخی درباره رشد سازمان، تقابل ۱۳۶۰، انتقال به عراق و اثر اتحاد با عراق بر اعتبار ملی سازمان.</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[۳] </w:t>
      </w:r>
      <w:r>
        <w:rPr>
          <w:rFonts w:ascii="Noto Naskh Arabic" w:hAnsi="Noto Naskh Arabic" w:cs="Noto Naskh Arabic" w:eastAsia="Noto Naskh Arabic"/>
          <w:sz w:val="26"/>
          <w:szCs w:val="26"/>
          <w:b w:val="0"/>
          <w:bCs w:val="0"/>
          <w:i w:val="0"/>
          <w:iCs w:val="0"/>
          <w:rtl w:val="0"/>
          <w:lang w:val="en-GB" w:bidi="fa-IR"/>
          <w:color w:val="000000"/>
        </w:rPr>
        <w:t xml:space="preserve">‪Encyclopaedia Iranica. “Communism iii. In Persia after 1953.”‬ </w:t>
      </w:r>
      <w:r>
        <w:rPr>
          <w:rFonts w:ascii="Noto Naskh Arabic" w:hAnsi="Noto Naskh Arabic" w:cs="Noto Naskh Arabic" w:eastAsia="Noto Naskh Arabic"/>
          <w:sz w:val="26"/>
          <w:szCs w:val="26"/>
          <w:b w:val="0"/>
          <w:bCs w:val="0"/>
          <w:i w:val="0"/>
          <w:iCs w:val="0"/>
          <w:rtl w:val="1"/>
          <w:lang w:val="fa-IR" w:bidi="fa-IR"/>
          <w:color w:val="000000"/>
        </w:rPr>
        <w:t>درباره سازمان چریک‌های فدایی خلق، نظریه تبلیغ مسلحانه، رشد پس از انقلاب و انشعاب اکثریت/اقلیت.</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[۴] </w:t>
      </w:r>
      <w:r>
        <w:rPr>
          <w:rFonts w:ascii="Noto Naskh Arabic" w:hAnsi="Noto Naskh Arabic" w:cs="Noto Naskh Arabic" w:eastAsia="Noto Naskh Arabic"/>
          <w:sz w:val="26"/>
          <w:szCs w:val="26"/>
          <w:b w:val="0"/>
          <w:bCs w:val="0"/>
          <w:i w:val="0"/>
          <w:iCs w:val="0"/>
          <w:rtl w:val="0"/>
          <w:lang w:val="en-GB" w:bidi="fa-IR"/>
          <w:color w:val="000000"/>
        </w:rPr>
        <w:t xml:space="preserve">‪Freedom House. “Iran: Country Profile / Freedom in the World 2026.”‬ </w:t>
      </w:r>
      <w:r>
        <w:rPr>
          <w:rFonts w:ascii="Noto Naskh Arabic" w:hAnsi="Noto Naskh Arabic" w:cs="Noto Naskh Arabic" w:eastAsia="Noto Naskh Arabic"/>
          <w:sz w:val="26"/>
          <w:szCs w:val="26"/>
          <w:b w:val="0"/>
          <w:bCs w:val="0"/>
          <w:i w:val="0"/>
          <w:iCs w:val="0"/>
          <w:rtl w:val="1"/>
          <w:lang w:val="fa-IR" w:bidi="fa-IR"/>
          <w:color w:val="000000"/>
        </w:rPr>
        <w:t>ارزیابی ایران به‌عنوان کشور غیرآزاد و توضیح نقش شورای نگهبان، رهبر و نهادهای امنیتی در محدودیت‌های سیاسی و مدنی.</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[۵] </w:t>
      </w:r>
      <w:r>
        <w:rPr>
          <w:rFonts w:ascii="Noto Naskh Arabic" w:hAnsi="Noto Naskh Arabic" w:cs="Noto Naskh Arabic" w:eastAsia="Noto Naskh Arabic"/>
          <w:sz w:val="26"/>
          <w:szCs w:val="26"/>
          <w:b w:val="0"/>
          <w:bCs w:val="0"/>
          <w:i w:val="0"/>
          <w:iCs w:val="0"/>
          <w:rtl w:val="0"/>
          <w:lang w:val="en-GB" w:bidi="fa-IR"/>
          <w:color w:val="000000"/>
        </w:rPr>
        <w:t xml:space="preserve">‪Encyclopaedia Britannica. “Juan Carlos: Biography &amp; Facts”‬ </w:t>
      </w:r>
      <w:r>
        <w:rPr>
          <w:rFonts w:ascii="Noto Naskh Arabic" w:hAnsi="Noto Naskh Arabic" w:cs="Noto Naskh Arabic" w:eastAsia="Noto Naskh Arabic"/>
          <w:sz w:val="26"/>
          <w:szCs w:val="26"/>
          <w:b w:val="0"/>
          <w:bCs w:val="0"/>
          <w:i w:val="0"/>
          <w:iCs w:val="0"/>
          <w:rtl w:val="1"/>
          <w:lang w:val="fa-IR" w:bidi="fa-IR"/>
          <w:color w:val="000000"/>
        </w:rPr>
        <w:t>و “</w:t>
      </w:r>
      <w:r>
        <w:rPr>
          <w:rFonts w:ascii="Noto Naskh Arabic" w:hAnsi="Noto Naskh Arabic" w:cs="Noto Naskh Arabic" w:eastAsia="Noto Naskh Arabic"/>
          <w:sz w:val="26"/>
          <w:szCs w:val="26"/>
          <w:b w:val="0"/>
          <w:bCs w:val="0"/>
          <w:i w:val="0"/>
          <w:iCs w:val="0"/>
          <w:rtl w:val="0"/>
          <w:lang w:val="en-GB" w:bidi="fa-IR"/>
          <w:color w:val="000000"/>
        </w:rPr>
        <w:t xml:space="preserve">‪Spain: Government and Society.”‬ </w:t>
      </w:r>
      <w:r>
        <w:rPr>
          <w:rFonts w:ascii="Noto Naskh Arabic" w:hAnsi="Noto Naskh Arabic" w:cs="Noto Naskh Arabic" w:eastAsia="Noto Naskh Arabic"/>
          <w:sz w:val="26"/>
          <w:szCs w:val="26"/>
          <w:b w:val="0"/>
          <w:bCs w:val="0"/>
          <w:i w:val="0"/>
          <w:iCs w:val="0"/>
          <w:rtl w:val="1"/>
          <w:lang w:val="fa-IR" w:bidi="fa-IR"/>
          <w:color w:val="000000"/>
        </w:rPr>
        <w:t>درباره نقش خوان کارلوس در گذار صلح‌آمیز اسپانیا به دموکراسی و پادشاهی پارلمانی.</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[۶] </w:t>
      </w:r>
      <w:r>
        <w:rPr>
          <w:rFonts w:ascii="Noto Naskh Arabic" w:hAnsi="Noto Naskh Arabic" w:cs="Noto Naskh Arabic" w:eastAsia="Noto Naskh Arabic"/>
          <w:sz w:val="26"/>
          <w:szCs w:val="26"/>
          <w:b w:val="0"/>
          <w:bCs w:val="0"/>
          <w:i w:val="0"/>
          <w:iCs w:val="0"/>
          <w:rtl w:val="0"/>
          <w:lang w:val="en-GB" w:bidi="fa-IR"/>
          <w:color w:val="000000"/>
        </w:rPr>
        <w:t>‪Putnam, Robert D. Making Democracy Work: Civic Traditions in Modern Italy. Princeton University Press, 1993.‬</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[۷] </w:t>
      </w:r>
      <w:r>
        <w:rPr>
          <w:rFonts w:ascii="Noto Naskh Arabic" w:hAnsi="Noto Naskh Arabic" w:cs="Noto Naskh Arabic" w:eastAsia="Noto Naskh Arabic"/>
          <w:sz w:val="26"/>
          <w:szCs w:val="26"/>
          <w:b w:val="0"/>
          <w:bCs w:val="0"/>
          <w:i w:val="0"/>
          <w:iCs w:val="0"/>
          <w:rtl w:val="0"/>
          <w:lang w:val="en-GB" w:bidi="fa-IR"/>
          <w:color w:val="000000"/>
        </w:rPr>
        <w:t>‪Fukuyama, Francis. Trust: The Social Virtues and the Creation of Prosperity. Free Press, 1995.‬</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[۸] </w:t>
      </w:r>
      <w:r>
        <w:rPr>
          <w:rFonts w:ascii="Noto Naskh Arabic" w:hAnsi="Noto Naskh Arabic" w:cs="Noto Naskh Arabic" w:eastAsia="Noto Naskh Arabic"/>
          <w:sz w:val="26"/>
          <w:szCs w:val="26"/>
          <w:b w:val="0"/>
          <w:bCs w:val="0"/>
          <w:i w:val="0"/>
          <w:iCs w:val="0"/>
          <w:rtl w:val="0"/>
          <w:lang w:val="en-GB" w:bidi="fa-IR"/>
          <w:color w:val="000000"/>
        </w:rPr>
        <w:t xml:space="preserve">‪Reza Pahlavi Official Website. “With the people, for Iran”‬ </w:t>
      </w:r>
      <w:r>
        <w:rPr>
          <w:rFonts w:ascii="Noto Naskh Arabic" w:hAnsi="Noto Naskh Arabic" w:cs="Noto Naskh Arabic" w:eastAsia="Noto Naskh Arabic"/>
          <w:sz w:val="26"/>
          <w:szCs w:val="26"/>
          <w:b w:val="0"/>
          <w:bCs w:val="0"/>
          <w:i w:val="0"/>
          <w:iCs w:val="0"/>
          <w:rtl w:val="1"/>
          <w:lang w:val="fa-IR" w:bidi="fa-IR"/>
          <w:color w:val="000000"/>
        </w:rPr>
        <w:t>و «</w:t>
      </w:r>
      <w:r>
        <w:rPr>
          <w:rFonts w:ascii="Noto Naskh Arabic" w:hAnsi="Noto Naskh Arabic" w:cs="Noto Naskh Arabic" w:eastAsia="Noto Naskh Arabic"/>
          <w:sz w:val="26"/>
          <w:szCs w:val="26"/>
          <w:b w:val="0"/>
          <w:bCs w:val="0"/>
          <w:i w:val="0"/>
          <w:iCs w:val="0"/>
          <w:rtl w:val="0"/>
          <w:lang w:val="en-GB" w:bidi="fa-IR"/>
          <w:color w:val="000000"/>
        </w:rPr>
        <w:t>‪Five Pillars‬</w:t>
      </w:r>
      <w:r>
        <w:rPr>
          <w:rFonts w:ascii="Noto Naskh Arabic" w:hAnsi="Noto Naskh Arabic" w:cs="Noto Naskh Arabic" w:eastAsia="Noto Naskh Arabic"/>
          <w:sz w:val="26"/>
          <w:szCs w:val="26"/>
          <w:b w:val="0"/>
          <w:bCs w:val="0"/>
          <w:i w:val="0"/>
          <w:iCs w:val="0"/>
          <w:rtl w:val="1"/>
          <w:lang w:val="fa-IR" w:bidi="fa-IR"/>
          <w:color w:val="000000"/>
        </w:rPr>
        <w:t>»: فشار حداکثری، حمایت حداکثری، ریزش حداکثری، سازماندهی حداکثری و پروژه شکوفایی ایران.</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[۹] </w:t>
      </w:r>
      <w:r>
        <w:rPr>
          <w:rFonts w:ascii="Noto Naskh Arabic" w:hAnsi="Noto Naskh Arabic" w:cs="Noto Naskh Arabic" w:eastAsia="Noto Naskh Arabic"/>
          <w:sz w:val="26"/>
          <w:szCs w:val="26"/>
          <w:b w:val="0"/>
          <w:bCs w:val="0"/>
          <w:i w:val="0"/>
          <w:iCs w:val="0"/>
          <w:rtl w:val="0"/>
          <w:lang w:val="en-GB" w:bidi="fa-IR"/>
          <w:color w:val="000000"/>
        </w:rPr>
        <w:t xml:space="preserve">‪National Union for Democracy in Iran (NUFDI). “Iranian Opposition Unites Around Crown Prince Reza Pahlavi.”‬ </w:t>
      </w:r>
      <w:r>
        <w:rPr>
          <w:rFonts w:ascii="Noto Naskh Arabic" w:hAnsi="Noto Naskh Arabic" w:cs="Noto Naskh Arabic" w:eastAsia="Noto Naskh Arabic"/>
          <w:sz w:val="26"/>
          <w:szCs w:val="26"/>
          <w:b w:val="0"/>
          <w:bCs w:val="0"/>
          <w:i w:val="0"/>
          <w:iCs w:val="0"/>
          <w:rtl w:val="1"/>
          <w:lang w:val="fa-IR" w:bidi="fa-IR"/>
          <w:color w:val="000000"/>
        </w:rPr>
        <w:t>گزارش درباره نقش پیشنهادی شاهزاده در دوران گذار و انتخابات آزاد.</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[۱۰] </w:t>
      </w:r>
      <w:r>
        <w:rPr>
          <w:rFonts w:ascii="Noto Naskh Arabic" w:hAnsi="Noto Naskh Arabic" w:cs="Noto Naskh Arabic" w:eastAsia="Noto Naskh Arabic"/>
          <w:sz w:val="26"/>
          <w:szCs w:val="26"/>
          <w:b w:val="0"/>
          <w:bCs w:val="0"/>
          <w:i w:val="0"/>
          <w:iCs w:val="0"/>
          <w:rtl w:val="0"/>
          <w:lang w:val="en-GB" w:bidi="fa-IR"/>
          <w:color w:val="000000"/>
        </w:rPr>
        <w:t>‪Abrahamian, Ervand. The Iranian Mojahedin. Yale University Press, 1989.‬</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[۱۱] </w:t>
      </w:r>
      <w:r>
        <w:rPr>
          <w:rFonts w:ascii="Noto Naskh Arabic" w:hAnsi="Noto Naskh Arabic" w:cs="Noto Naskh Arabic" w:eastAsia="Noto Naskh Arabic"/>
          <w:sz w:val="26"/>
          <w:szCs w:val="26"/>
          <w:b w:val="0"/>
          <w:bCs w:val="0"/>
          <w:i w:val="0"/>
          <w:iCs w:val="0"/>
          <w:rtl w:val="0"/>
          <w:lang w:val="en-GB" w:bidi="fa-IR"/>
          <w:color w:val="000000"/>
        </w:rPr>
        <w:t>‪Abrahamian, Ervand. Iran Between Two Revolutions. Princeton University Press, 1982.‬</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[۱۲] </w:t>
      </w:r>
      <w:r>
        <w:rPr>
          <w:rFonts w:ascii="Noto Naskh Arabic" w:hAnsi="Noto Naskh Arabic" w:cs="Noto Naskh Arabic" w:eastAsia="Noto Naskh Arabic"/>
          <w:sz w:val="26"/>
          <w:szCs w:val="26"/>
          <w:b w:val="0"/>
          <w:bCs w:val="0"/>
          <w:i w:val="0"/>
          <w:iCs w:val="0"/>
          <w:rtl w:val="0"/>
          <w:lang w:val="en-GB" w:bidi="fa-IR"/>
          <w:color w:val="000000"/>
        </w:rPr>
        <w:t>‪Tilly, Charles. Social Movements, 1768–2004. Paradigm Publishers, 2004.‬</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[۱۳] </w:t>
      </w:r>
      <w:r>
        <w:rPr>
          <w:rFonts w:ascii="Noto Naskh Arabic" w:hAnsi="Noto Naskh Arabic" w:cs="Noto Naskh Arabic" w:eastAsia="Noto Naskh Arabic"/>
          <w:sz w:val="26"/>
          <w:szCs w:val="26"/>
          <w:b w:val="0"/>
          <w:bCs w:val="0"/>
          <w:i w:val="0"/>
          <w:iCs w:val="0"/>
          <w:rtl w:val="0"/>
          <w:lang w:val="en-GB" w:bidi="fa-IR"/>
          <w:color w:val="000000"/>
        </w:rPr>
        <w:t>‪McAdam, Doug; Tarrow, Sidney; Tilly, Charles. Dynamics of Contention. Cambridge University Press, 2001.‬</w:t>
      </w:r>
    </w:p>
    <w:p>
      <w:pPr>
        <w:spacing w:line="300" w:lineRule="auto" w:after="120" w:before="0"/>
        <w:ind w:firstLine="0"/>
        <w:jc w:val="start"/>
        <w:keepNext w:val="0"/>
        <w:keepLines w:val="0"/>
        <w:widowControl/>
        <w:bidi w:val="1"/>
        <w:rPr>
          <w:rFonts w:ascii="Noto Naskh Arabic" w:hAnsi="Noto Naskh Arabic" w:cs="Noto Naskh Arabic" w:eastAsia="Noto Naskh Arabic"/>
          <w:sz w:val="26"/>
          <w:szCs w:val="26"/>
          <w:b w:val="0"/>
          <w:bCs w:val="0"/>
          <w:i w:val="0"/>
          <w:iCs w:val="0"/>
          <w:rtl w:val="1"/>
          <w:lang w:val="fa-IR" w:bidi="fa-IR"/>
          <w:color w:val="000000"/>
        </w:rPr>
      </w:pPr>
      <w:r>
        <w:rPr>
          <w:rFonts w:ascii="Noto Naskh Arabic" w:hAnsi="Noto Naskh Arabic" w:cs="Noto Naskh Arabic" w:eastAsia="Noto Naskh Arabic"/>
          <w:sz w:val="26"/>
          <w:szCs w:val="26"/>
          <w:b w:val="0"/>
          <w:bCs w:val="0"/>
          <w:i w:val="0"/>
          <w:iCs w:val="0"/>
          <w:rtl w:val="1"/>
          <w:lang w:val="fa-IR" w:bidi="fa-IR"/>
          <w:color w:val="000000"/>
        </w:rPr>
        <w:t xml:space="preserve">[۱۴] </w:t>
      </w:r>
      <w:r>
        <w:rPr>
          <w:rFonts w:ascii="Noto Naskh Arabic" w:hAnsi="Noto Naskh Arabic" w:cs="Noto Naskh Arabic" w:eastAsia="Noto Naskh Arabic"/>
          <w:sz w:val="26"/>
          <w:szCs w:val="26"/>
          <w:b w:val="0"/>
          <w:bCs w:val="0"/>
          <w:i w:val="0"/>
          <w:iCs w:val="0"/>
          <w:rtl w:val="0"/>
          <w:lang w:val="en-GB" w:bidi="fa-IR"/>
          <w:color w:val="000000"/>
        </w:rPr>
        <w:t>‪Six, Bart. “Trust and Social Capital in the Design and Evolution of Institutions for Collective Action.” International Journal of the Commons, 2015.‬</w:t>
      </w:r>
    </w:p>
    <w:sectPr w:rsidR="00FC693F" w:rsidRPr="0006063C" w:rsidSect="00034616">
      <w:headerReference w:type="default" r:id="rId9"/>
      <w:footerReference w:type="default" r:id="rId10"/>
      <w:pgSz w:w="12240" w:h="15840"/>
      <w:pgMar w:top="1134" w:right="1134" w:bottom="113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00" w:lineRule="auto" w:after="0" w:before="0"/>
      <w:ind w:firstLine="0"/>
      <w:jc w:val="start"/>
      <w:keepNext w:val="0"/>
      <w:keepLines w:val="0"/>
      <w:widowControl/>
      <w:bidi w:val="1"/>
      <w:rPr>
        <w:rFonts w:ascii="Noto Naskh Arabic" w:hAnsi="Noto Naskh Arabic" w:cs="Noto Naskh Arabic" w:eastAsia="Noto Naskh Arabic"/>
        <w:sz w:val="20"/>
        <w:szCs w:val="20"/>
        <w:b w:val="0"/>
        <w:bCs w:val="0"/>
        <w:i w:val="0"/>
        <w:iCs w:val="0"/>
        <w:rtl w:val="1"/>
        <w:lang w:val="fa-IR" w:bidi="fa-IR"/>
        <w:color w:val="000000"/>
      </w:rPr>
    </w:pPr>
    <w:r>
      <w:rPr>
        <w:rFonts w:ascii="Noto Naskh Arabic" w:hAnsi="Noto Naskh Arabic" w:cs="Noto Naskh Arabic" w:eastAsia="Noto Naskh Arabic"/>
        <w:sz w:val="20"/>
        <w:szCs w:val="20"/>
        <w:b w:val="0"/>
        <w:bCs w:val="0"/>
        <w:i w:val="0"/>
        <w:iCs w:val="0"/>
        <w:rtl w:val="0"/>
        <w:lang w:val="en-GB" w:bidi="fa-IR"/>
        <w:color w:val="000000"/>
      </w:rPr>
      <w:t>‪Mr Peyman Bakhshayesh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00" w:lineRule="auto" w:after="0" w:before="0"/>
      <w:ind w:firstLine="0"/>
      <w:jc w:val="start"/>
      <w:keepNext w:val="0"/>
      <w:keepLines w:val="0"/>
      <w:widowControl/>
      <w:bidi w:val="1"/>
      <w:rPr>
        <w:rFonts w:ascii="Noto Naskh Arabic" w:hAnsi="Noto Naskh Arabic" w:cs="Noto Naskh Arabic" w:eastAsia="Noto Naskh Arabic"/>
        <w:sz w:val="20"/>
        <w:szCs w:val="20"/>
        <w:b w:val="0"/>
        <w:bCs w:val="0"/>
        <w:i w:val="0"/>
        <w:iCs w:val="0"/>
        <w:rtl w:val="1"/>
        <w:lang w:val="fa-IR" w:bidi="fa-IR"/>
        <w:color w:val="000000"/>
      </w:rPr>
    </w:pPr>
    <w:r>
      <w:rPr>
        <w:rFonts w:ascii="Noto Naskh Arabic" w:hAnsi="Noto Naskh Arabic" w:cs="Noto Naskh Arabic" w:eastAsia="Noto Naskh Arabic"/>
        <w:sz w:val="20"/>
        <w:szCs w:val="20"/>
        <w:b w:val="0"/>
        <w:bCs w:val="0"/>
        <w:i w:val="0"/>
        <w:iCs w:val="0"/>
        <w:rtl w:val="1"/>
        <w:lang w:val="fa-IR" w:bidi="fa-IR"/>
        <w:color w:val="000000"/>
      </w:rPr>
      <w:t>جنبش شیر و خورشید و بحران اعتماد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right"/>
      <w:pPr>
        <w:tabs>
          <w:tab w:val="num" w:pos="1800"/>
        </w:tabs>
        <w:ind w:left="0" w:hanging="200" w:right="340"/>
        <w:bidi w:val="1"/>
      </w:pPr>
    </w:lvl>
  </w:abstractNum>
  <w:abstractNum w:abstractNumId="1">
    <w:nsid w:val="FFFFFF7D"/>
    <w:multiLevelType w:val="singleLevel"/>
    <w:tmpl w:val="E4089024"/>
    <w:lvl w:ilvl="0">
      <w:start w:val="1"/>
      <w:numFmt w:val="decimal"/>
      <w:lvlText w:val="%1."/>
      <w:lvlJc w:val="right"/>
      <w:pPr>
        <w:tabs>
          <w:tab w:val="num" w:pos="1440"/>
        </w:tabs>
        <w:ind w:left="0" w:hanging="200" w:right="340"/>
        <w:bidi w:val="1"/>
      </w:pPr>
    </w:lvl>
  </w:abstractNum>
  <w:abstractNum w:abstractNumId="2">
    <w:nsid w:val="FFFFFF7E"/>
    <w:multiLevelType w:val="singleLevel"/>
    <w:tmpl w:val="FB12693A"/>
    <w:lvl w:ilvl="0">
      <w:start w:val="1"/>
      <w:numFmt w:val="decimal"/>
      <w:pStyle w:val="ListNumber3"/>
      <w:lvlText w:val="%1."/>
      <w:lvlJc w:val="right"/>
      <w:pPr>
        <w:tabs>
          <w:tab w:val="num" w:pos="1080"/>
        </w:tabs>
        <w:ind w:left="0" w:hanging="200" w:right="340"/>
        <w:bidi w:val="1"/>
      </w:pPr>
    </w:lvl>
  </w:abstractNum>
  <w:abstractNum w:abstractNumId="3">
    <w:nsid w:val="FFFFFF7F"/>
    <w:multiLevelType w:val="singleLevel"/>
    <w:tmpl w:val="38441652"/>
    <w:lvl w:ilvl="0">
      <w:start w:val="1"/>
      <w:numFmt w:val="decimal"/>
      <w:pStyle w:val="ListNumber2"/>
      <w:lvlText w:val="%1."/>
      <w:lvlJc w:val="right"/>
      <w:pPr>
        <w:tabs>
          <w:tab w:val="num" w:pos="720"/>
        </w:tabs>
        <w:ind w:left="0" w:hanging="200" w:right="340"/>
        <w:bidi w:val="1"/>
      </w:pPr>
    </w:lvl>
  </w:abstractNum>
  <w:abstractNum w:abstractNumId="4">
    <w:nsid w:val="FFFFFF81"/>
    <w:multiLevelType w:val="singleLevel"/>
    <w:tmpl w:val="171AC3A4"/>
    <w:lvl w:ilvl="0">
      <w:start w:val="1"/>
      <w:numFmt w:val="bullet"/>
      <w:lvlText w:val=""/>
      <w:lvlJc w:val="right"/>
      <w:pPr>
        <w:tabs>
          <w:tab w:val="num" w:pos="1440"/>
        </w:tabs>
        <w:ind w:left="0" w:hanging="200" w:right="340"/>
        <w:bidi w:val="1"/>
      </w:pPr>
      <w:rPr>
        <w:rFonts w:ascii="Symbol" w:hAnsi="Symbol" w:hint="default"/>
      </w:rPr>
    </w:lvl>
  </w:abstractNum>
  <w:abstractNum w:abstractNumId="5">
    <w:nsid w:val="FFFFFF82"/>
    <w:multiLevelType w:val="singleLevel"/>
    <w:tmpl w:val="F3EAFDEC"/>
    <w:lvl w:ilvl="0">
      <w:start w:val="1"/>
      <w:numFmt w:val="bullet"/>
      <w:pStyle w:val="ListBullet3"/>
      <w:lvlText w:val=""/>
      <w:lvlJc w:val="right"/>
      <w:pPr>
        <w:tabs>
          <w:tab w:val="num" w:pos="1080"/>
        </w:tabs>
        <w:ind w:left="0" w:hanging="200" w:right="340"/>
        <w:bidi w:val="1"/>
      </w:pPr>
      <w:rPr>
        <w:rFonts w:ascii="Symbol" w:hAnsi="Symbol" w:hint="default"/>
      </w:rPr>
    </w:lvl>
  </w:abstractNum>
  <w:abstractNum w:abstractNumId="6">
    <w:nsid w:val="FFFFFF83"/>
    <w:multiLevelType w:val="singleLevel"/>
    <w:tmpl w:val="3D1EFFD4"/>
    <w:lvl w:ilvl="0">
      <w:start w:val="1"/>
      <w:numFmt w:val="bullet"/>
      <w:pStyle w:val="ListBullet2"/>
      <w:lvlText w:val=""/>
      <w:lvlJc w:val="right"/>
      <w:pPr>
        <w:tabs>
          <w:tab w:val="num" w:pos="720"/>
        </w:tabs>
        <w:ind w:left="0" w:hanging="200" w:right="340"/>
        <w:bidi w:val="1"/>
      </w:pPr>
      <w:rPr>
        <w:rFonts w:ascii="Symbol" w:hAnsi="Symbol" w:hint="default"/>
      </w:rPr>
    </w:lvl>
  </w:abstractNum>
  <w:abstractNum w:abstractNumId="7">
    <w:nsid w:val="FFFFFF88"/>
    <w:multiLevelType w:val="singleLevel"/>
    <w:tmpl w:val="D0A62B40"/>
    <w:lvl w:ilvl="0">
      <w:start w:val="1"/>
      <w:numFmt w:val="decimal"/>
      <w:pStyle w:val="ListNumber"/>
      <w:lvlText w:val="%1."/>
      <w:lvlJc w:val="right"/>
      <w:pPr>
        <w:tabs>
          <w:tab w:val="num" w:pos="360"/>
        </w:tabs>
        <w:ind w:left="0" w:hanging="200" w:right="340"/>
        <w:bidi w:val="1"/>
      </w:pPr>
    </w:lvl>
  </w:abstractNum>
  <w:abstractNum w:abstractNumId="8">
    <w:nsid w:val="FFFFFF89"/>
    <w:multiLevelType w:val="singleLevel"/>
    <w:tmpl w:val="29761A62"/>
    <w:lvl w:ilvl="0">
      <w:start w:val="1"/>
      <w:numFmt w:val="bullet"/>
      <w:pStyle w:val="ListBullet"/>
      <w:lvlText w:val=""/>
      <w:lvlJc w:val="right"/>
      <w:pPr>
        <w:tabs>
          <w:tab w:val="num" w:pos="360"/>
        </w:tabs>
        <w:ind w:left="0" w:hanging="200" w:right="340"/>
        <w:bidi w:val="1"/>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rFonts w:ascii="Noto Naskh Arabic" w:hAnsi="Noto Naskh Arabic" w:cs="Noto Naskh Arabic" w:eastAsia="Noto Naskh Arabic"/>
      <w:sz w:val="26"/>
      <w:szCs w:val="26"/>
      <w:b w:val="0"/>
      <w:bCs w:val="0"/>
      <w:i w:val="0"/>
      <w:iCs w:val="0"/>
      <w:rtl w:val="1"/>
      <w:lang w:val="fa-IR" w:bidi="fa-IR"/>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val="1"/>
      <w:jc w:val="start"/>
    </w:pPr>
    <w:rPr>
      <w:rFonts w:asciiTheme="majorHAnsi" w:eastAsiaTheme="majorEastAsia" w:hAnsiTheme="majorHAnsi" w:cstheme="majorBidi" w:ascii="Noto Kufi Arabic" w:hAnsi="Noto Kufi Arabic" w:cs="Noto Kufi Arabic" w:eastAsia="Noto Kufi Arabic"/>
      <w:b w:val="1"/>
      <w:bCs w:val="1"/>
      <w:color w:val="000000" w:themeColor="accent1" w:themeShade="BF"/>
      <w:sz w:val="32"/>
      <w:szCs w:val="32"/>
      <w:i w:val="0"/>
      <w:iCs w:val="0"/>
      <w:rtl w:val="1"/>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bidi w:val="1"/>
      <w:jc w:val="start"/>
    </w:pPr>
    <w:rPr>
      <w:rFonts w:asciiTheme="majorHAnsi" w:eastAsiaTheme="majorEastAsia" w:hAnsiTheme="majorHAnsi" w:cstheme="majorBidi" w:ascii="Noto Kufi Arabic" w:hAnsi="Noto Kufi Arabic" w:cs="Noto Kufi Arabic" w:eastAsia="Noto Kufi Arabic"/>
      <w:b w:val="1"/>
      <w:bCs w:val="1"/>
      <w:color w:val="000000" w:themeColor="accent1"/>
      <w:sz w:val="32"/>
      <w:szCs w:val="32"/>
      <w:i w:val="0"/>
      <w:iCs w:val="0"/>
      <w:rtl w:val="1"/>
      <w:lang w:val="fa-IR"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bidi w:val="1"/>
      <w:jc w:val="start"/>
    </w:pPr>
    <w:rPr>
      <w:rFonts w:asciiTheme="majorHAnsi" w:eastAsiaTheme="majorEastAsia" w:hAnsiTheme="majorHAnsi" w:cstheme="majorBidi" w:ascii="Noto Kufi Arabic" w:hAnsi="Noto Kufi Arabic" w:cs="Noto Kufi Arabic" w:eastAsia="Noto Kufi Arabic"/>
      <w:color w:val="000000" w:themeColor="text2" w:themeShade="BF"/>
      <w:spacing w:val="5"/>
      <w:kern w:val="28"/>
      <w:sz w:val="48"/>
      <w:szCs w:val="48"/>
      <w:b w:val="1"/>
      <w:bCs w:val="1"/>
      <w:i w:val="0"/>
      <w:iCs w:val="0"/>
      <w:rtl w:val="1"/>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ascii="Noto Naskh Arabic" w:hAnsi="Noto Naskh Arabic" w:cs="Noto Naskh Arabic" w:eastAsia="Noto Naskh Arabic"/>
      <w:i w:val="0"/>
      <w:iCs w:val="0"/>
      <w:color w:val="000000" w:themeColor="accent1"/>
      <w:spacing w:val="15"/>
      <w:sz w:val="30"/>
      <w:szCs w:val="30"/>
      <w:b w:val="0"/>
      <w:bCs w:val="0"/>
      <w:rtl w:val="1"/>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bidi w:val="1"/>
      <w:jc w:val="start"/>
    </w:pPr>
    <w:rPr>
      <w:rFonts w:ascii="Noto Naskh Arabic" w:hAnsi="Noto Naskh Arabic" w:cs="Noto Naskh Arabic" w:eastAsia="Noto Naskh Arabic"/>
      <w:sz w:val="26"/>
      <w:szCs w:val="26"/>
      <w:b w:val="0"/>
      <w:bCs w:val="0"/>
      <w:i w:val="0"/>
      <w:iCs w:val="0"/>
      <w:rtl w:val="1"/>
      <w:lang w:val="fa-IR" w:bidi="fa-IR"/>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جنبش شیر و خورشید و بحران اعتماد در اپوزیسیون ایرانی: تحلیل تاریخی، سیاسی و روان‌شناختی با راهبردهای عملی برای اعتمادسازی</dc:title>
  <dc:subject>تحلیل بحران اعتماد در جنبش شیر و خورشید و اپوزیسیون ایرانی</dc:subject>
  <dc:creator>Peyman Bakhshayesh</dc:creator>
  <cp:keywords>Iran, Reza Pahlavi, trust, social capital, Lion and Sun movement, democratic transition</cp:keywords>
  <dc:description>generated by python-docx</dc:description>
  <cp:lastModifiedBy/>
  <cp:revision>1</cp:revision>
  <dcterms:created xsi:type="dcterms:W3CDTF">2013-12-23T23:15:00Z</dcterms:created>
  <dcterms:modified xsi:type="dcterms:W3CDTF">2013-12-23T23:15:00Z</dcterms:modified>
  <cp:category/>
</cp:coreProperties>
</file>