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400" w:after="160" w:line="240" w:lineRule="auto"/>
        <w:ind w:firstLine="0"/>
        <w:jc w:val="center"/>
        <w:keepNext w:val="0"/>
        <w:keepLines w:val="0"/>
        <w:widowControl/>
        <w:bidi w:val="1"/>
      </w:pPr>
      <w:r>
        <w:rPr>
          <w:rFonts w:ascii="Noto Sans Arabic" w:hAnsi="Noto Sans Arabic" w:eastAsia="Noto Sans Arabic" w:cs="Noto Sans Arabic"/>
          <w:b/>
          <w:i w:val="0"/>
          <w:color w:val="A47D28"/>
          <w:sz w:val="25"/>
          <w:rtl w:val="1"/>
        </w:rPr>
        <w:t>مقالهٔ تحلیلی–هنجاری</w:t>
      </w:r>
    </w:p>
    <w:p>
      <w:pPr>
        <w:spacing w:before="280" w:after="200" w:line="288" w:lineRule="auto"/>
        <w:ind w:firstLine="0"/>
        <w:jc w:val="center"/>
        <w:keepNext w:val="0"/>
        <w:keepLines/>
        <w:widowControl/>
        <w:bidi w:val="1"/>
      </w:pPr>
      <w:r>
        <w:rPr>
          <w:rFonts w:ascii="Noto Sans Arabic" w:hAnsi="Noto Sans Arabic" w:eastAsia="Noto Sans Arabic" w:cs="Noto Sans Arabic"/>
          <w:b/>
          <w:i w:val="0"/>
          <w:color w:val="20384F"/>
          <w:sz w:val="47"/>
          <w:rtl w:val="1"/>
        </w:rPr>
        <w:t>آیندهٔ ایران در بستر جنبش شیر و خورشید و انقلاب جاری</w:t>
      </w:r>
    </w:p>
    <w:p>
      <w:pPr>
        <w:spacing w:before="0" w:after="160" w:line="288" w:lineRule="auto"/>
        <w:ind w:firstLine="0"/>
        <w:jc w:val="center"/>
        <w:keepNext w:val="0"/>
        <w:keepLines w:val="0"/>
        <w:widowControl/>
        <w:bidi w:val="1"/>
      </w:pPr>
      <w:r>
        <w:rPr>
          <w:rFonts w:ascii="Noto Sans Arabic" w:hAnsi="Noto Sans Arabic" w:eastAsia="Noto Sans Arabic" w:cs="Noto Sans Arabic"/>
          <w:b/>
          <w:i w:val="0"/>
          <w:color w:val="3E667C"/>
          <w:sz w:val="31"/>
          <w:rtl w:val="1"/>
        </w:rPr>
        <w:t>آرزوهای احزاب سیاسی، حفظ پرنسیپ‌ها و امکان اتحاد دموکراتیک</w:t>
      </w:r>
    </w:p>
    <w:p>
      <w:pPr>
        <w:keepNext w:val="0"/>
        <w:keepLines w:val="0"/>
        <w:widowControl/>
        <w:pBdr>
          <w:bottom w:val="single" w:sz="10" w:space="1" w:color="A47D28"/>
        </w:pBdr>
        <w:spacing w:before="160" w:after="320" w:line="240" w:lineRule="auto"/>
        <w:ind w:firstLine="0"/>
        <w:jc w:val="center"/>
        <w:bidi w:val="1"/>
      </w:pPr>
    </w:p>
    <w:p>
      <w:pPr>
        <w:spacing w:before="80" w:after="40" w:line="240" w:lineRule="auto"/>
        <w:ind w:firstLine="0"/>
        <w:jc w:val="center"/>
        <w:keepNext w:val="0"/>
        <w:keepLines w:val="0"/>
        <w:widowControl/>
        <w:bidi w:val="1"/>
      </w:pPr>
      <w:r>
        <w:rPr>
          <w:rFonts w:ascii="Noto Sans Arabic" w:hAnsi="Noto Sans Arabic" w:eastAsia="Noto Sans Arabic" w:cs="Noto Sans Arabic"/>
          <w:b/>
          <w:i w:val="0"/>
          <w:color w:val="20384F"/>
          <w:sz w:val="34"/>
          <w:rtl w:val="1"/>
        </w:rPr>
        <w:t>پیمان بخشایش</w:t>
      </w:r>
    </w:p>
    <w:p>
      <w:pPr>
        <w:spacing w:before="0" w:after="40" w:line="240" w:lineRule="auto"/>
        <w:ind w:firstLine="0"/>
        <w:jc w:val="center"/>
        <w:keepNext w:val="0"/>
        <w:keepLines w:val="0"/>
        <w:widowControl/>
        <w:bidi w:val="1"/>
      </w:pPr>
      <w:r>
        <w:rPr>
          <w:rFonts w:ascii="Noto Sans Arabic" w:hAnsi="Noto Sans Arabic" w:eastAsia="Noto Sans Arabic" w:cs="Noto Sans Arabic"/>
          <w:b w:val="0"/>
          <w:i w:val="0"/>
          <w:color w:val="4A4A4A"/>
          <w:sz w:val="25"/>
          <w:rtl w:val="1"/>
        </w:rPr>
        <w:t>جراح تروما | MD, PhD, MBA</w:t>
      </w:r>
    </w:p>
    <w:p>
      <w:pPr>
        <w:spacing w:before="240" w:after="360" w:line="240" w:lineRule="auto"/>
        <w:ind w:firstLine="0"/>
        <w:jc w:val="center"/>
        <w:keepNext w:val="0"/>
        <w:keepLines w:val="0"/>
        <w:widowControl/>
        <w:bidi w:val="1"/>
      </w:pPr>
      <w:r>
        <w:rPr>
          <w:rFonts w:ascii="Noto Naskh Arabic" w:hAnsi="Noto Naskh Arabic" w:eastAsia="Noto Naskh Arabic" w:cs="Noto Naskh Arabic"/>
          <w:b w:val="0"/>
          <w:i w:val="0"/>
          <w:color w:val="4A4A4A"/>
          <w:sz w:val="23"/>
          <w:rtl w:val="1"/>
        </w:rPr>
        <w:t>۲۳ مرداد ۱۴۰۵ | ۱۴ اوت ۲۰۲۶</w:t>
      </w:r>
    </w:p>
    <w:tbl>
      <w:tblPr>
        <w:tblW w:type="auto" w:w="0"/>
        <w:jc w:val="center"/>
        <w:tblLayout w:type="fixed"/>
        <w:tblLook w:firstColumn="1" w:firstRow="1" w:lastColumn="0" w:lastRow="0" w:noHBand="0" w:noVBand="1" w:val="04A0"/>
      </w:tblPr>
      <w:tblGrid>
        <w:gridCol w:w="8901"/>
      </w:tblGrid>
      <w:tr>
        <w:tc>
          <w:tcPr>
            <w:tcW w:type="dxa" w:w="9524"/>
            <w:shd w:fill="EAF1F5"/>
            <w:tcMar>
              <w:top w:w="160" w:type="dxa"/>
              <w:start w:w="230" w:type="dxa"/>
              <w:bottom w:w="160" w:type="dxa"/>
              <w:end w:w="230" w:type="dxa"/>
            </w:tcMar>
          </w:tcPr>
          <w:p>
            <w:pPr>
              <w:spacing w:before="0" w:after="0" w:line="307" w:lineRule="auto"/>
              <w:ind w:firstLine="0"/>
              <w:jc w:val="center"/>
              <w:keepNext w:val="0"/>
              <w:keepLines/>
              <w:widowControl/>
              <w:bidi w:val="1"/>
            </w:pPr>
            <w:r>
              <w:rPr>
                <w:rFonts w:ascii="Noto Sans Arabic" w:hAnsi="Noto Sans Arabic" w:eastAsia="Noto Sans Arabic" w:cs="Noto Sans Arabic"/>
                <w:b/>
                <w:i w:val="0"/>
                <w:color w:val="20384F"/>
                <w:sz w:val="26"/>
                <w:rtl w:val="1"/>
              </w:rPr>
              <w:t>«هیچ جریان سیاسی لازم نیست از آرمان نهایی خود دست بکشد؛ اما همه باید از انحصار، حذف و خشونت دست بکشند.»</w:t>
            </w:r>
          </w:p>
          <w:p>
            <w:pPr>
              <w:spacing w:before="60" w:after="0" w:line="240" w:lineRule="auto"/>
              <w:ind w:firstLine="0"/>
              <w:jc w:val="center"/>
              <w:keepNext w:val="0"/>
              <w:keepLines w:val="0"/>
              <w:widowControl/>
              <w:bidi w:val="1"/>
            </w:pPr>
            <w:r>
              <w:rPr>
                <w:rFonts w:ascii="Noto Naskh Arabic" w:hAnsi="Noto Naskh Arabic" w:eastAsia="Noto Naskh Arabic" w:cs="Noto Naskh Arabic"/>
                <w:b w:val="0"/>
                <w:i w:val="0"/>
                <w:color w:val="4A4A4A"/>
                <w:sz w:val="21"/>
                <w:rtl w:val="1"/>
              </w:rPr>
              <w:t>پیمان بخشایش</w:t>
            </w:r>
          </w:p>
        </w:tc>
        <w:trPr>
          <w:tblHeader/>
        </w:trPr>
      </w:tr>
    </w:tbl>
    <w:p>
      <w:pPr>
        <w:widowControl/>
        <w:spacing w:after="0"/>
      </w:pPr>
    </w:p>
    <w:p>
      <w:pPr>
        <w:spacing w:before="280" w:after="0" w:line="300" w:lineRule="auto"/>
        <w:ind w:firstLine="0"/>
        <w:jc w:val="center"/>
        <w:keepNext w:val="0"/>
        <w:keepLines w:val="0"/>
        <w:widowControl/>
        <w:bidi w:val="1"/>
      </w:pPr>
      <w:r>
        <w:rPr>
          <w:rFonts w:ascii="Noto Naskh Arabic" w:hAnsi="Noto Naskh Arabic" w:eastAsia="Noto Naskh Arabic" w:cs="Noto Naskh Arabic"/>
          <w:b w:val="0"/>
          <w:i w:val="0"/>
          <w:color w:val="4A4A4A"/>
          <w:sz w:val="20"/>
          <w:rtl w:val="1"/>
        </w:rPr>
        <w:t>نسخهٔ حاضر تحولات و منابع در دسترس را تا ۱۴ اوت ۲۰۲۶ پوشش می‌دهد.</w:t>
      </w:r>
    </w:p>
    <w:p>
      <w:pPr>
        <w:spacing w:before="200" w:after="0" w:line="288" w:lineRule="auto"/>
        <w:ind w:firstLine="0"/>
        <w:jc w:val="center"/>
        <w:keepNext w:val="0"/>
        <w:keepLines w:val="0"/>
        <w:widowControl/>
        <w:bidi w:val="1"/>
      </w:pPr>
      <w:r>
        <w:rPr>
          <w:rFonts w:ascii="Noto Naskh Arabic" w:hAnsi="Noto Naskh Arabic" w:eastAsia="Noto Naskh Arabic" w:cs="Noto Naskh Arabic"/>
          <w:b w:val="0"/>
          <w:i w:val="0"/>
          <w:color w:val="4A4A4A"/>
          <w:sz w:val="19"/>
          <w:rtl w:val="1"/>
        </w:rPr>
        <w:t>نحوهٔ استناد پیشنهادی: بخشایش، پیمان. (۱۴۰۵). آیندهٔ ایران در بستر جنبش شیر و خورشید و انقلاب جاری.</w:t>
      </w:r>
    </w:p>
    <w:p>
      <w:pPr>
        <w:widowControl/>
      </w:pPr>
      <w:r>
        <w:br w:type="page"/>
      </w:r>
    </w:p>
    <w:p>
      <w:pPr>
        <w:spacing w:before="240" w:after="100" w:line="276" w:lineRule="auto"/>
        <w:ind w:firstLine="0"/>
        <w:jc w:val="right"/>
        <w:pStyle w:val="Heading1"/>
        <w:keepNext/>
        <w:keepLines/>
        <w:widowControl/>
        <w:bidi w:val="1"/>
      </w:pPr>
      <w:r>
        <w:rPr>
          <w:rFonts w:ascii="Noto Sans Arabic" w:hAnsi="Noto Sans Arabic" w:eastAsia="Noto Sans Arabic" w:cs="Noto Sans Arabic"/>
          <w:b/>
          <w:i w:val="0"/>
          <w:color w:val="20384F"/>
          <w:sz w:val="32"/>
          <w:rtl w:val="1"/>
        </w:rPr>
        <w:t>چکیده</w:t>
      </w:r>
    </w:p>
    <w:p>
      <w:pPr>
        <w:spacing w:before="0" w:after="100" w:line="331" w:lineRule="auto"/>
        <w:ind w:firstLine="369"/>
        <w:jc w:val="both"/>
        <w:keepNext w:val="0"/>
        <w:keepLines w:val="0"/>
        <w:widowControl/>
        <w:bidi w:val="1"/>
      </w:pPr>
      <w:r>
        <w:rPr>
          <w:rFonts w:ascii="Noto Naskh Arabic" w:hAnsi="Noto Naskh Arabic" w:eastAsia="Noto Naskh Arabic" w:cs="Noto Naskh Arabic"/>
          <w:b w:val="0"/>
          <w:i w:val="0"/>
          <w:sz w:val="25"/>
          <w:rtl w:val="1"/>
        </w:rPr>
        <w:t>این مقاله با اتکا به ادبیات گذار از اقتدارگرایی، پژوهش‌های تاریخی دربارهٔ انقلاب ۱۳۵۷، اسناد حقوق بشری، استانداردهای بین‌المللی حقوق مدنی و کار و داده‌های افکار عمومی، امکان شکل‌گیری ائتلافی پایدار میان پادشاهی‌خواهان، جمهوری‌خواهان و نیروهای سوسیالیست و کمونیستِ دموکراتیک را بررسی می‌کند. نقطهٔ آغاز مقاله این است که شکاف میان بخش بزرگی از جامعهٔ ایران و جمهوری اسلامی، پس از خیزش‌های پی‌درپی، کشتار گستردهٔ دی‌ماه ۱۴۰۴ و جنگ سال ۲۰۲۶، از سطح نارضایتی قابل‌مهار عبور کرده و به بحران بنیادین مشروعیت تبدیل شده است. در عین حال، مخالفت با جمهوری اسلامی به معنای توافق بر سر شکل نظام آینده، سیاست اقتصادی یا تفسیر واحدی از تاریخ معاصر نیست.</w:t>
      </w:r>
    </w:p>
    <w:p>
      <w:pPr>
        <w:spacing w:before="0" w:after="100" w:line="331" w:lineRule="auto"/>
        <w:ind w:firstLine="369"/>
        <w:jc w:val="both"/>
        <w:keepNext w:val="0"/>
        <w:keepLines w:val="0"/>
        <w:widowControl/>
        <w:bidi w:val="1"/>
      </w:pPr>
      <w:r>
        <w:rPr>
          <w:rFonts w:ascii="Noto Naskh Arabic" w:hAnsi="Noto Naskh Arabic" w:eastAsia="Noto Naskh Arabic" w:cs="Noto Naskh Arabic"/>
          <w:b w:val="0"/>
          <w:i w:val="0"/>
          <w:sz w:val="25"/>
          <w:rtl w:val="1"/>
        </w:rPr>
        <w:t>پیمایش ژوئن ۲۰۲۴ گَمان، با وجود محدودیت‌های اجتناب‌ناپذیر پیمایش آنلاین در یک محیط سرکوبگر، نشان می‌دهد که حدود ۷۰ درصد پاسخ‌گویان با تداوم جمهوری اسلامی مخالف‌اند و ۸۹ درصد از دموکراسی حمایت می‌کنند؛ با این حال، هیچ چهره یا خوشهٔ سیاسی از حمایت اکثریت برخوردار نیست. رضا پهلوی در آن پیمایش شناخته‌شده‌ترین و پرطرفدارترین چهرهٔ اپوزیسیون بود، اما حمایت از او نیز اکثریتی نبود. همین ترکیب—خواست گسترده برای تغییر، همراه با تنوع عمیق سیاسی—مبنای استدلال اصلی مقاله است: ائتلاف مؤثر نباید بر ادغام ایدئولوژیک یا بیعت با یک روایت تاریخی بنا شود، بلکه باید «پیمانی بر سر قواعد رقابت» باشد ‪(Maleki, 2025)‬.</w:t>
      </w:r>
    </w:p>
    <w:p>
      <w:pPr>
        <w:spacing w:before="0" w:after="100" w:line="331" w:lineRule="auto"/>
        <w:ind w:firstLine="369"/>
        <w:jc w:val="both"/>
        <w:keepNext w:val="0"/>
        <w:keepLines w:val="0"/>
        <w:widowControl/>
        <w:bidi w:val="1"/>
      </w:pPr>
      <w:r>
        <w:rPr>
          <w:rFonts w:ascii="Noto Naskh Arabic" w:hAnsi="Noto Naskh Arabic" w:eastAsia="Noto Naskh Arabic" w:cs="Noto Naskh Arabic"/>
          <w:b w:val="0"/>
          <w:i w:val="0"/>
          <w:sz w:val="25"/>
          <w:rtl w:val="1"/>
        </w:rPr>
        <w:t>مقاله سه حافظهٔ سیاسی رقیب را بازسازی می‌کند: نگرانی پادشاهی‌خواهان از تکرار ائتلاف و حذف خشونت‌آمیز سال ۱۳۵۷؛ نقد سوسیالیستی به نابرابری، سرکوب تشکل‌های مستقل و توسعهٔ نامتوازن؛ و دغدغهٔ جمهوری‌خواهان دربارهٔ تمرکز قدرت و بازتولید حکومت شخصی. نتیجه آن است که هر سه نگرانی می‌توانند در یک نظم دموکراتیک به رسمیت شناخته شوند، مشروط بر آنکه هیچ جریان حق وتوی تاریخی یا حق تحمیل برنامهٔ نهایی خود را مطالبه نکند. نقش رضا پهلوی نیز در این چارچوب می‌تواند نقش تسهیل‌گر، نماد همگرایی و «پل گذار» باشد، به شرط آنکه مأموریت او محدود، زمان‌مند، پاسخ‌گو و تابع مجلس مؤسسان منتخب و رأی آزاد مردم باشد. در پایان، مقاله یک میثاق حداقلی، سازوکارهای تضمین متقابل، چارچوب عدالت انتقالی و نقشهٔ راه نهادی برای گذار پیشنهاد می‌کند.</w:t>
      </w:r>
    </w:p>
    <w:p>
      <w:pPr>
        <w:spacing w:before="100" w:after="160" w:line="288" w:lineRule="auto"/>
        <w:ind w:firstLine="0"/>
        <w:jc w:val="right"/>
        <w:keepNext w:val="0"/>
        <w:keepLines w:val="0"/>
        <w:widowControl/>
        <w:bidi w:val="1"/>
      </w:pPr>
      <w:r>
        <w:rPr>
          <w:rFonts w:ascii="Noto Sans Arabic" w:hAnsi="Noto Sans Arabic" w:eastAsia="Noto Sans Arabic" w:cs="Noto Sans Arabic"/>
          <w:b/>
          <w:i w:val="0"/>
          <w:color w:val="20384F"/>
          <w:sz w:val="23"/>
          <w:rtl w:val="1"/>
        </w:rPr>
        <w:t xml:space="preserve">واژگان کلیدی: </w:t>
      </w:r>
      <w:r>
        <w:rPr>
          <w:rFonts w:ascii="Noto Naskh Arabic" w:hAnsi="Noto Naskh Arabic" w:eastAsia="Noto Naskh Arabic" w:cs="Noto Naskh Arabic"/>
          <w:b w:val="0"/>
          <w:i w:val="0"/>
          <w:sz w:val="23"/>
          <w:rtl w:val="1"/>
        </w:rPr>
        <w:t>ایران؛ گذار دموکراتیک؛ جنبش شیر و خورشید؛ رضا پهلوی؛ ائتلاف اپوزیسیون؛ جمهوری‌خواهی؛ سوسیالیسم دموکراتیک؛ عدالت انتقالی.</w:t>
      </w:r>
    </w:p>
    <w:p>
      <w:pPr>
        <w:keepNext w:val="0"/>
        <w:keepLines w:val="0"/>
        <w:widowControl/>
        <w:pBdr>
          <w:bottom w:val="single" w:sz="5" w:space="1" w:color="D9E1E6"/>
        </w:pBdr>
        <w:spacing w:before="40" w:after="80" w:line="240" w:lineRule="auto"/>
        <w:ind w:firstLine="0"/>
        <w:jc w:val="center"/>
        <w:bidi w:val="1"/>
      </w:pPr>
    </w:p>
    <w:p>
      <w:pPr>
        <w:spacing w:before="240" w:after="100" w:line="276" w:lineRule="auto"/>
        <w:ind w:firstLine="0"/>
        <w:jc w:val="right"/>
        <w:pStyle w:val="Heading1"/>
        <w:keepNext/>
        <w:keepLines/>
        <w:widowControl/>
        <w:bidi w:val="1"/>
      </w:pPr>
      <w:r>
        <w:rPr>
          <w:rFonts w:ascii="Noto Sans Arabic" w:hAnsi="Noto Sans Arabic" w:eastAsia="Noto Sans Arabic" w:cs="Noto Sans Arabic"/>
          <w:b/>
          <w:i w:val="0"/>
          <w:color w:val="20384F"/>
          <w:sz w:val="32"/>
          <w:rtl w:val="1"/>
        </w:rPr>
        <w:t>۱. مقدمه: عبور از جمهوری اسلامی و مسئلهٔ تکثر اپوزیسیون</w:t>
      </w:r>
    </w:p>
    <w:p>
      <w:pPr>
        <w:spacing w:before="0" w:after="100" w:line="331" w:lineRule="auto"/>
        <w:ind w:firstLine="369"/>
        <w:jc w:val="both"/>
        <w:keepNext w:val="0"/>
        <w:keepLines w:val="0"/>
        <w:widowControl/>
        <w:bidi w:val="1"/>
      </w:pPr>
      <w:r>
        <w:rPr>
          <w:rFonts w:ascii="Noto Naskh Arabic" w:hAnsi="Noto Naskh Arabic" w:eastAsia="Noto Naskh Arabic" w:cs="Noto Naskh Arabic"/>
          <w:b w:val="0"/>
          <w:i w:val="0"/>
          <w:sz w:val="25"/>
          <w:rtl w:val="1"/>
        </w:rPr>
        <w:t>در ایران امروز، بحث اصلی دیگر صرفاً اصلاح یک سیاست یا جابه‌جایی یک دولت نیست؛ پرسش اصلی، چگونگی عبور از ساختاری است که مشروعیت خود را بر ولایت فقیه، انحصار دینی، سرکوب سازمان‌یافته و حذف رقابت آزاد سیاسی بنا کرده است. خیزش‌هایی که از ۱۳۹۶ تا «زن، زندگی، آزادی» و سپس اعتراضات سراسری زمستان ۱۴۰۴ ادامه یافتند، نشان دادند که نارضایتی اجتماعی به حوزه‌های اقتصادی محدود نمانده و به مطالبهٔ کرامت، آزادی، دموکراسی و پایان نظام موجود پیوند خورده است. عفو بین‌الملل و دیدبان حقوق بشر گزارش کرده‌اند که در روزهای ۸ و ۹ ژانویهٔ ۲۰۲۶ نیروهای امنیتی هزاران معترض و رهگذر را به‌طور غیرقانونی کشتند؛ قطع ارتباطات و محدودیت دسترسی مستقل، تعیین رقم دقیق قربانیان را دشوار کرده است ‪(Amnesty International, 2026; Human Rights Watch, 2026)‬.</w:t>
      </w:r>
    </w:p>
    <w:p>
      <w:pPr>
        <w:spacing w:before="0" w:after="100" w:line="331" w:lineRule="auto"/>
        <w:ind w:firstLine="369"/>
        <w:jc w:val="both"/>
        <w:keepNext w:val="0"/>
        <w:keepLines w:val="0"/>
        <w:widowControl/>
        <w:bidi w:val="1"/>
      </w:pPr>
      <w:r>
        <w:rPr>
          <w:rFonts w:ascii="Noto Naskh Arabic" w:hAnsi="Noto Naskh Arabic" w:eastAsia="Noto Naskh Arabic" w:cs="Noto Naskh Arabic"/>
          <w:b w:val="0"/>
          <w:i w:val="0"/>
          <w:sz w:val="25"/>
          <w:rtl w:val="1"/>
        </w:rPr>
        <w:t>در ادامه، جنگی که از اواخر فوریهٔ ۲۰۲۶ آغاز شد و تا میانهٔ اوت همان سال همچنان با محاصرهٔ دریایی، بحران تنگهٔ هرمز، فشار اقتصادی و شکست تلاش‌های آتش‌بس ادامه داشت، جامعه را در برابر خطری دوگانه قرار داد: از یک سو بقای نظامی که مسئول سرکوب داخلی و ماجراجویی منطقه‌ای دانسته می‌شود، و از سوی دیگر خطر ویرانی، وابستگی خارجی، فروپاشی خدمات عمومی و تجزیهٔ ارادهٔ ملی در دل جنگ ‪(House of Commons Library, 2026; Stewart &amp; Ali, 2026)‬. بنابراین، گذار مطلوب نه استمرار وضع موجود است و نه سپردن آیندهٔ ایران به ارادهٔ دولت‌های خارجی؛ بلکه بازپس‌گیری حاکمیت مردم با کمترین خشونت و بیشترین تداوم نهادی است.</w:t>
      </w:r>
    </w:p>
    <w:p>
      <w:pPr>
        <w:spacing w:before="0" w:after="100" w:line="331" w:lineRule="auto"/>
        <w:ind w:firstLine="369"/>
        <w:jc w:val="both"/>
        <w:keepNext w:val="0"/>
        <w:keepLines w:val="0"/>
        <w:widowControl/>
        <w:bidi w:val="1"/>
      </w:pPr>
      <w:r>
        <w:rPr>
          <w:rFonts w:ascii="Noto Naskh Arabic" w:hAnsi="Noto Naskh Arabic" w:eastAsia="Noto Naskh Arabic" w:cs="Noto Naskh Arabic"/>
          <w:b w:val="0"/>
          <w:i w:val="0"/>
          <w:sz w:val="25"/>
          <w:rtl w:val="1"/>
        </w:rPr>
        <w:t>در داوری هنجاری این مقاله، جمهوری اسلامی برای بخش بزرگی از مردم به نماد شر سیاسی تبدیل شده است: نظامی که نه فقط آزادی‌های آنان، بلکه امنیت اقتصادی، حیثیت اجتماعی و امکان تصور آینده را فرسوده است. با این حال، زبان علمی اقتضا می‌کند که میان داوری اخلاقی و توصیف تجربی تمایز بگذاریم. جامعهٔ ایران یک‌دست نیست؛ شبکه‌های ذی‌نفع، لایه‌های ایدئولوژیک، دستگاه‌های نظامی–امنیتی و بخش‌هایی از جامعه هنوز به دلایل متفاوت از نظام حمایت می‌کنند یا از آیندهٔ پس از آن می‌ترسند. همین واقعیت، ضرورت یک برنامهٔ گذار فراگیر را بیشتر می‌کند: برنامه‌ای که از یک‌سو نظام سرکوب را پایان دهد و از سوی دیگر، شهروندان را صرفاً به دلیل پیشینهٔ اجتماعی، شغلی یا رأی سیاسی از حقوق خود محروم نکند.</w:t>
      </w:r>
    </w:p>
    <w:p>
      <w:pPr>
        <w:spacing w:before="0" w:after="100" w:line="331" w:lineRule="auto"/>
        <w:ind w:firstLine="369"/>
        <w:jc w:val="both"/>
        <w:keepNext w:val="0"/>
        <w:keepLines w:val="0"/>
        <w:widowControl/>
        <w:bidi w:val="1"/>
      </w:pPr>
      <w:r>
        <w:rPr>
          <w:rFonts w:ascii="Noto Naskh Arabic" w:hAnsi="Noto Naskh Arabic" w:eastAsia="Noto Naskh Arabic" w:cs="Noto Naskh Arabic"/>
          <w:b w:val="0"/>
          <w:i w:val="0"/>
          <w:sz w:val="25"/>
          <w:rtl w:val="1"/>
        </w:rPr>
        <w:t>داده‌های گَمان تصویر دوگانه‌ای ارائه می‌کنند. در ژوئن ۲۰۲۴، ۶۸٫۳ درصد پاسخ‌گویان در یک همه‌پرسی آزاد به جمهوری اسلامی «نه» می‌گفتند و ۸۹ درصد از دموکراسی حمایت می‌کردند. در عین حال، ۲۶ درصد جمهوری سکولار و ۲۱ درصد پادشاهی را ترجیح می‌دادند؛ ۲۲ درصد اطلاعات کافی برای انتخاب نداشتند و ۱۱ درصد شکل دقیق نظام را تعیین‌کننده نمی‌دانستند. مهم‌تر آنکه ۴۳ درصد آمادگی نشان داده بودند حکومت یک رهبر قدرتمند فردی را بپذیرند—هشداری جدی دربارهٔ امکان بازتولید اقتدارگرایی حتی در جامعه‌ای که خواهان تغییر است. این پیمایش ۷۷٬۲۱۶ پاسخ‌دهندهٔ داخل ایران داشت و پس از وزن‌دهی، نمونهٔ مؤثر ۲۰٬۴۹۲ نفری را نمایندگی می‌کرد؛ با این حال، چون روش آن آنلاین و مبتنی بر ابزارهای عبور از فیلترینگ بوده است، نتایج باید به‌عنوان شاهد مهم، نه حقیقت نهایی و بدون خطا، خوانده شود ‪(Maleki, 2025)‬.</w:t>
      </w:r>
    </w:p>
    <w:p>
      <w:pPr>
        <w:spacing w:before="0" w:after="100" w:line="331" w:lineRule="auto"/>
        <w:ind w:firstLine="369"/>
        <w:jc w:val="both"/>
        <w:keepNext w:val="0"/>
        <w:keepLines w:val="0"/>
        <w:widowControl/>
        <w:bidi w:val="1"/>
      </w:pPr>
      <w:r>
        <w:rPr>
          <w:rFonts w:ascii="Noto Naskh Arabic" w:hAnsi="Noto Naskh Arabic" w:eastAsia="Noto Naskh Arabic" w:cs="Noto Naskh Arabic"/>
          <w:b w:val="0"/>
          <w:i w:val="0"/>
          <w:sz w:val="25"/>
          <w:rtl w:val="1"/>
        </w:rPr>
        <w:t>در چنین فضایی، رضا پهلوی برجسته‌ترین و شناخته‌شده‌ترین چهرهٔ اپوزیسیون باقی مانده است. در پیمایش ۲۰۲۴ گَمان ۳۱ درصد او را برگزیدند—بیش از هر چهرهٔ دیگری، اما بسیار کمتر از اکثریت. گزارش ویژهٔ رویترز در ژوئیهٔ ۲۰۲۶ نیز او را آشکارترین مدعی رهبری گذار توصیف کرد، در عین حال به مناقشه‌ها، ضعف سازمان‌دهی در داخل و رفتار قطبی‌کنندهٔ بخشی از هواداران اشاره داشت ‪(Stecklow, Layne, &amp; Finch, 2026)‬. بنابراین، واقعیت سیاسی را باید بدون اغراق پذیرفت: رضا پهلوی دارای سرمایهٔ نمادین و قابلیت بسیج مهمی است، اما هیچ فردی به‌تنهایی نمایندهٔ تمام ایران نیست.</w:t>
      </w:r>
    </w:p>
    <w:p>
      <w:pPr>
        <w:spacing w:before="0" w:after="100" w:line="331" w:lineRule="auto"/>
        <w:ind w:firstLine="369"/>
        <w:jc w:val="both"/>
        <w:keepNext w:val="0"/>
        <w:keepLines w:val="0"/>
        <w:widowControl/>
        <w:bidi w:val="1"/>
      </w:pPr>
      <w:r>
        <w:rPr>
          <w:rFonts w:ascii="Noto Naskh Arabic" w:hAnsi="Noto Naskh Arabic" w:eastAsia="Noto Naskh Arabic" w:cs="Noto Naskh Arabic"/>
          <w:b w:val="0"/>
          <w:i w:val="0"/>
          <w:sz w:val="25"/>
          <w:rtl w:val="1"/>
        </w:rPr>
        <w:t>مسئلهٔ مرکزی این مقاله از همین‌جا آغاز می‌شود: چگونه می‌توان بر محور یک چهرهٔ برجسته و یک جنبش ملی، ائتلافی وسیع ساخت بی‌آنکه جمهوری‌خواهان، سوسیالیست‌ها و کمونیست‌های دموکراتیک ناچار شوند از هویت، آرمان یا حق رقابت آیندهٔ خود دست بکشند؟ و در سوی مقابل، چگونه می‌توان به پادشاهی‌خواهان اطمینان داد که اتحاد تازه به تکرار ائتلاف سال ۱۳۵۷، شورش مسلحانه، مصادرهٔ قدرت و حذف آنان نخواهد انجامید؟ پاسخ پیشنهادی این مقاله «اتحاد با حفظ پرنسیپ‌ها»ست: وحدت نه بر سر پاسخ نهایی، بلکه بر سر حق مردم برای دادن پاسخ نهایی.</w:t>
      </w:r>
    </w:p>
    <w:p>
      <w:pPr>
        <w:spacing w:before="240" w:after="100" w:line="276" w:lineRule="auto"/>
        <w:ind w:firstLine="0"/>
        <w:jc w:val="right"/>
        <w:pStyle w:val="Heading1"/>
        <w:keepNext/>
        <w:keepLines/>
        <w:widowControl/>
        <w:bidi w:val="1"/>
      </w:pPr>
      <w:r>
        <w:rPr>
          <w:rFonts w:ascii="Noto Sans Arabic" w:hAnsi="Noto Sans Arabic" w:eastAsia="Noto Sans Arabic" w:cs="Noto Sans Arabic"/>
          <w:b/>
          <w:i w:val="0"/>
          <w:color w:val="20384F"/>
          <w:sz w:val="32"/>
          <w:rtl w:val="1"/>
        </w:rPr>
        <w:t>۲. روش، حدود ادعا و تعریف مفاهیم</w:t>
      </w:r>
    </w:p>
    <w:p>
      <w:pPr>
        <w:spacing w:before="0" w:after="100" w:line="331" w:lineRule="auto"/>
        <w:ind w:firstLine="369"/>
        <w:jc w:val="both"/>
        <w:keepNext w:val="0"/>
        <w:keepLines w:val="0"/>
        <w:widowControl/>
        <w:bidi w:val="1"/>
      </w:pPr>
      <w:r>
        <w:rPr>
          <w:rFonts w:ascii="Noto Naskh Arabic" w:hAnsi="Noto Naskh Arabic" w:eastAsia="Noto Naskh Arabic" w:cs="Noto Naskh Arabic"/>
          <w:b w:val="0"/>
          <w:i w:val="0"/>
          <w:sz w:val="25"/>
          <w:rtl w:val="1"/>
        </w:rPr>
        <w:t>این متن یک پژوهش تجربی مستقل یا مقالهٔ داوری‌شدهٔ علوم سیاسی نیست؛ بلکه مقاله‌ای تحلیلی–هنجاری است که چهار دسته منبع را تلفیق می‌کند: نخست، ادبیات تاریخی دربارهٔ دولت پهلوی، انقلاب ۱۳۵۷ و نیروهای اجتماعی ایران؛ دوم، پژوهش‌های مقایسه‌ای دربارهٔ ائتلاف‌های اپوزیسیون، مقاومت مدنی و گذار از اقتدارگرایی؛ سوم، پیمایش‌های افکار عمومی و گزارش‌های روز؛ و چهارم، اسناد حقوق بشر، حقوق کار و عدالت انتقالی. هدف، اثبات یک روایت یگانه از تاریخ نیست، بلکه ساختن چارچوبی است که اختلاف روایت‌ها را به رقابت دموکراتیک تبدیل کند.</w:t>
      </w:r>
    </w:p>
    <w:p>
      <w:pPr>
        <w:spacing w:before="0" w:after="100" w:line="331" w:lineRule="auto"/>
        <w:ind w:firstLine="369"/>
        <w:jc w:val="both"/>
        <w:keepNext w:val="0"/>
        <w:keepLines w:val="0"/>
        <w:widowControl/>
        <w:bidi w:val="1"/>
      </w:pPr>
      <w:r>
        <w:rPr>
          <w:rFonts w:ascii="Noto Naskh Arabic" w:hAnsi="Noto Naskh Arabic" w:eastAsia="Noto Naskh Arabic" w:cs="Noto Naskh Arabic"/>
          <w:b w:val="0"/>
          <w:i w:val="0"/>
          <w:sz w:val="25"/>
          <w:rtl w:val="1"/>
        </w:rPr>
        <w:t>اصطلاح‌های «پادشاهی‌خواه»، «جمهوری‌خواه»، «سوسیالیست» و «کمونیست» در این مقاله به خانواده‌های فکری متنوع اشاره دارند و نه بلوک‌های یک‌دست. مرز ائتلاف پیشنهادی نیز نام ایدئولوژی نیست. یک سلطنت‌طلب اقتدارگرا، یک جمهوری‌خواه خواهان حذف رقیب یا یک کمونیست مدافع دیکتاتوری تک‌حزبی، همگی بیرون از میثاق دموکراتیک قرار می‌گیرند. در مقابل، هر جریان که کثرت‌گرایی، حقوق بشر، گردش مسالمت‌آمیز قدرت و داوری صندوق رأی را بپذیرد، باید از حق برابر حضور برخوردار باشد.</w:t>
      </w:r>
    </w:p>
    <w:p>
      <w:pPr>
        <w:spacing w:before="0" w:after="100" w:line="331" w:lineRule="auto"/>
        <w:ind w:firstLine="369"/>
        <w:jc w:val="both"/>
        <w:keepNext w:val="0"/>
        <w:keepLines w:val="0"/>
        <w:widowControl/>
        <w:bidi w:val="1"/>
      </w:pPr>
      <w:r>
        <w:rPr>
          <w:rFonts w:ascii="Noto Naskh Arabic" w:hAnsi="Noto Naskh Arabic" w:eastAsia="Noto Naskh Arabic" w:cs="Noto Naskh Arabic"/>
          <w:b w:val="0"/>
          <w:i w:val="0"/>
          <w:sz w:val="25"/>
          <w:rtl w:val="1"/>
        </w:rPr>
        <w:t>در این مقاله، «جنبش شیر و خورشید» نامی است که نویسنده برای یک جنبش ملیِ آزادی‌خواه، سکولار، ایران‌گرا و ضداقتدارگرایی به کار می‌برد. این نماد از نظر بخش بزرگی از ایرانیان پیوندی تاریخی با هویت ملی و دولت پیش از جمهوری اسلامی دارد؛ اما برای آنکه جنبش واقعاً فراگیر باشد، نباید نماد به آزمون وفاداری ایدئولوژیک تبدیل شود. جمهوری‌خواه یا سوسیالیستی که اصول مشترک را می‌پذیرد باید بتواند در جنبش حضور یابد، حتی اگر دربارهٔ پرچم یا شکل نهایی نظام نظر دیگری داشته باشد. ملی‌گرایی دموکراتیک زمانی معتبر است که ظرفیت میزبانی از تفاوت را داشته باشد.</w:t>
      </w:r>
    </w:p>
    <w:p>
      <w:pPr>
        <w:spacing w:before="0" w:after="100" w:line="331" w:lineRule="auto"/>
        <w:ind w:firstLine="369"/>
        <w:jc w:val="both"/>
        <w:keepNext w:val="0"/>
        <w:keepLines w:val="0"/>
        <w:widowControl/>
        <w:bidi w:val="1"/>
      </w:pPr>
      <w:r>
        <w:rPr>
          <w:rFonts w:ascii="Noto Naskh Arabic" w:hAnsi="Noto Naskh Arabic" w:eastAsia="Noto Naskh Arabic" w:cs="Noto Naskh Arabic"/>
          <w:b w:val="0"/>
          <w:i w:val="0"/>
          <w:sz w:val="25"/>
          <w:rtl w:val="1"/>
        </w:rPr>
        <w:t>همچنین، تعبیر «انقلاب جاری» در این متن به معنای اعلام قطعی پیروزی یا فروپاشی فوری دولت نیست. منظور، فرایند انباشتیِ گسست اجتماعی و سیاسی از جمهوری اسلامی است که در اعتراضات، نافرمانی مدنی، تغییر هنجارهای فرهنگی، اعتصاب‌ها، شبکه‌های زنان و جوانان، فعالیت‌های صنفی و مقاومت روزمره بازتاب یافته است. تبدیل این فرایند به گذار موفق، به سازمان، ائتلاف، برنامهٔ تداوم دولت و سازوکارهای مشروع تصمیم‌گیری نیاز دارد.</w:t>
      </w:r>
    </w:p>
    <w:p>
      <w:pPr>
        <w:spacing w:before="240" w:after="100" w:line="276" w:lineRule="auto"/>
        <w:ind w:firstLine="0"/>
        <w:jc w:val="right"/>
        <w:pStyle w:val="Heading1"/>
        <w:keepNext/>
        <w:keepLines/>
        <w:widowControl/>
        <w:bidi w:val="1"/>
      </w:pPr>
      <w:r>
        <w:rPr>
          <w:rFonts w:ascii="Noto Sans Arabic" w:hAnsi="Noto Sans Arabic" w:eastAsia="Noto Sans Arabic" w:cs="Noto Sans Arabic"/>
          <w:b/>
          <w:i w:val="0"/>
          <w:color w:val="20384F"/>
          <w:sz w:val="32"/>
          <w:rtl w:val="1"/>
        </w:rPr>
        <w:t>۳. سه حافظهٔ رقیب از تاریخ معاصر ایران</w:t>
      </w:r>
    </w:p>
    <w:p>
      <w:pPr>
        <w:spacing w:before="0" w:after="100" w:line="331" w:lineRule="auto"/>
        <w:ind w:firstLine="369"/>
        <w:jc w:val="both"/>
        <w:keepNext w:val="0"/>
        <w:keepLines w:val="0"/>
        <w:widowControl/>
        <w:bidi w:val="1"/>
      </w:pPr>
      <w:r>
        <w:rPr>
          <w:rFonts w:ascii="Noto Naskh Arabic" w:hAnsi="Noto Naskh Arabic" w:eastAsia="Noto Naskh Arabic" w:cs="Noto Naskh Arabic"/>
          <w:b w:val="0"/>
          <w:i w:val="0"/>
          <w:sz w:val="25"/>
          <w:rtl w:val="1"/>
        </w:rPr>
        <w:t>ائتلاف سیاسی بدون مواجهه با حافظهٔ تاریخی ممکن نیست. بخش مهمی از خصومت امروز میان پادشاهی‌خواهان، جمهوری‌خواهان و چپ، نه فقط بر سر آینده، بلکه بر سر معنای انقلاب ۱۳۵۷ است. هر جریان، خود را حامل بخشی از رنج و دیگری را مسئول فاجعه می‌بیند. اتحاد پایدار مستلزم حذف این اختلاف نیست؛ مستلزم تبدیل آن از منطق اتهام جمعی به گفت‌وگوی مستند و مسئولیت‌پذیری فردی است.</w:t>
      </w:r>
    </w:p>
    <w:p>
      <w:pPr>
        <w:spacing w:before="160" w:after="100" w:line="276" w:lineRule="auto"/>
        <w:ind w:firstLine="0"/>
        <w:jc w:val="right"/>
        <w:pStyle w:val="Heading2"/>
        <w:keepNext/>
        <w:keepLines/>
        <w:widowControl/>
        <w:bidi w:val="1"/>
      </w:pPr>
      <w:r>
        <w:rPr>
          <w:rFonts w:ascii="Noto Sans Arabic" w:hAnsi="Noto Sans Arabic" w:eastAsia="Noto Sans Arabic" w:cs="Noto Sans Arabic"/>
          <w:b/>
          <w:i w:val="0"/>
          <w:color w:val="3E667C"/>
          <w:sz w:val="28"/>
          <w:rtl w:val="1"/>
        </w:rPr>
        <w:t>۳–۱. روایت پادشاهی‌خواه: ۱۳۵۷ به‌مثابه گسست و فاجعه</w:t>
      </w:r>
    </w:p>
    <w:p>
      <w:pPr>
        <w:spacing w:before="0" w:after="100" w:line="331" w:lineRule="auto"/>
        <w:ind w:firstLine="369"/>
        <w:jc w:val="both"/>
        <w:keepNext w:val="0"/>
        <w:keepLines w:val="0"/>
        <w:widowControl/>
        <w:bidi w:val="1"/>
      </w:pPr>
      <w:r>
        <w:rPr>
          <w:rFonts w:ascii="Noto Naskh Arabic" w:hAnsi="Noto Naskh Arabic" w:eastAsia="Noto Naskh Arabic" w:cs="Noto Naskh Arabic"/>
          <w:b w:val="0"/>
          <w:i w:val="0"/>
          <w:sz w:val="25"/>
          <w:rtl w:val="1"/>
        </w:rPr>
        <w:t>برای بسیاری از پادشاهی‌خواهان، انقلاب ۱۳۵۷ یک انقلاب رهایی‌بخش نبود، بلکه گسستی ویرانگر در مسیر نوسازی ایران بود: ائتلافی از اسلام‌گرایان، مارکسیست‌ها، مجاهدین و نیروهای جمهوری‌خواه که نظام پیشین را سرنگون کرد، اما خیلی زود قدرت به دست روحانیان افتاد و سپس متحدان دیروز نیز یکی پس از دیگری سرکوب، زندانی، اعدام یا تبعید شدند. این روایت بر دستاوردهای دولت‌سازی، آموزش، زیرساخت، حقوق زنان و نوسازی اقتصادی دورهٔ پهلوی تأکید می‌کند و فقدان تجربه و واقع‌بینی اپوزیسیون ۱۳۵۷ را عامل اصلی فاجعه می‌داند ‪(Abrahamian, 2008; Parsa, 1989)‬.</w:t>
      </w:r>
    </w:p>
    <w:p>
      <w:pPr>
        <w:spacing w:before="0" w:after="100" w:line="331" w:lineRule="auto"/>
        <w:ind w:firstLine="369"/>
        <w:jc w:val="both"/>
        <w:keepNext w:val="0"/>
        <w:keepLines w:val="0"/>
        <w:widowControl/>
        <w:bidi w:val="1"/>
      </w:pPr>
      <w:r>
        <w:rPr>
          <w:rFonts w:ascii="Noto Naskh Arabic" w:hAnsi="Noto Naskh Arabic" w:eastAsia="Noto Naskh Arabic" w:cs="Noto Naskh Arabic"/>
          <w:b w:val="0"/>
          <w:i w:val="0"/>
          <w:sz w:val="25"/>
          <w:rtl w:val="1"/>
        </w:rPr>
        <w:t>این حافظه یک نگرانی مشروع برای امروز تولید می‌کند: آیا نیروهایی که اکنون در کنار پادشاهی‌خواهان قرار می‌گیرند، پس از سقوط جمهوری اسلامی نیز به رقابت مسالمت‌آمیز وفادار خواهند ماند؟ آیا دوباره گروهی با سلاح، شوراهای انحصاری یا ادعای «مشروعیت انقلابی» صندوق رأی را کنار خواهد زد؟ ائتلاف دموکراتیک باید به این پرسش پاسخ روشن دهد: هیچ حزب یا طبقه‌ای حق ندارد با زور اسلحه، تصرف پادگان، دادگاه انقلابی یا بسیج خیابانیِ مسلح، نتیجهٔ فرایند آزاد سیاسی را لغو کند.</w:t>
      </w:r>
    </w:p>
    <w:p>
      <w:pPr>
        <w:spacing w:before="0" w:after="100" w:line="331" w:lineRule="auto"/>
        <w:ind w:firstLine="369"/>
        <w:jc w:val="both"/>
        <w:keepNext w:val="0"/>
        <w:keepLines w:val="0"/>
        <w:widowControl/>
        <w:bidi w:val="1"/>
      </w:pPr>
      <w:r>
        <w:rPr>
          <w:rFonts w:ascii="Noto Naskh Arabic" w:hAnsi="Noto Naskh Arabic" w:eastAsia="Noto Naskh Arabic" w:cs="Noto Naskh Arabic"/>
          <w:b w:val="0"/>
          <w:i w:val="0"/>
          <w:sz w:val="25"/>
          <w:rtl w:val="1"/>
        </w:rPr>
        <w:t>اما این نگرانی زمانی از مشروعیت تهی می‌شود که به زبان تحقیر، مرگ‌خواهی، مجازات جمعی یا جرم‌انگاری همهٔ شرکت‌کنندگان انقلاب ۱۳۵۷ تبدیل شود. خطای سیاسی، حتی خطای سهمگین، با جرم کیفری یکسان نیست. بسیاری از کنشگران آن دوره انگیزه‌های متفاوت داشتند؛ برخی آزادی و عدالت می‌خواستند، برخی گرفتار محاسبهٔ غلط شدند و برخی در خشونت و سرکوب مشارکت مستقیم داشتند. قانون آینده باید فقط مسئولیت فردی و اثبات‌پذیر را مبنای مجازات قرار دهد. پذیرش این اصل، عقب‌نشینی از نقد ۱۳۵۷ نیست؛ تمایز میان تاریخ‌نگاری و انتقام است.</w:t>
      </w:r>
    </w:p>
    <w:p>
      <w:pPr>
        <w:spacing w:before="160" w:after="100" w:line="276" w:lineRule="auto"/>
        <w:ind w:firstLine="0"/>
        <w:jc w:val="right"/>
        <w:pStyle w:val="Heading2"/>
        <w:keepNext/>
        <w:keepLines/>
        <w:widowControl/>
        <w:bidi w:val="1"/>
      </w:pPr>
      <w:r>
        <w:rPr>
          <w:rFonts w:ascii="Noto Sans Arabic" w:hAnsi="Noto Sans Arabic" w:eastAsia="Noto Sans Arabic" w:cs="Noto Sans Arabic"/>
          <w:b/>
          <w:i w:val="0"/>
          <w:color w:val="3E667C"/>
          <w:sz w:val="28"/>
          <w:rtl w:val="1"/>
        </w:rPr>
        <w:t>۳–۲. روایت چپ: توسعهٔ نامتوازن، نابرابری و بسته‌شدن سیاست</w:t>
      </w:r>
    </w:p>
    <w:p>
      <w:pPr>
        <w:spacing w:before="0" w:after="100" w:line="331" w:lineRule="auto"/>
        <w:ind w:firstLine="369"/>
        <w:jc w:val="both"/>
        <w:keepNext w:val="0"/>
        <w:keepLines w:val="0"/>
        <w:widowControl/>
        <w:bidi w:val="1"/>
      </w:pPr>
      <w:r>
        <w:rPr>
          <w:rFonts w:ascii="Noto Naskh Arabic" w:hAnsi="Noto Naskh Arabic" w:eastAsia="Noto Naskh Arabic" w:cs="Noto Naskh Arabic"/>
          <w:b w:val="0"/>
          <w:i w:val="0"/>
          <w:sz w:val="25"/>
          <w:rtl w:val="1"/>
        </w:rPr>
        <w:t>بخشی از نیروهای سوسیالیست و کمونیست، انقلاب جاری را ادامهٔ مبارزه‌ای می‌دانند که ریشه‌های آن در نابرابری طبقاتی، توسعهٔ سرمایه‌دارانهٔ نامتوازن و فقدان آزادی سازمان‌یابی در دورهٔ پهلوی قرار داشت. اصلاحات ارضی مناسبات روستا را دگرگون کرد و مهاجرت گسترده به شهرها را شتاب بخشید؛ صنعتی‌شدن و رشد خدمات نیز بدون شکل‌گیری متناسب اتحادیه‌های مستقل، شوراهای پایدار و احزاب آزاد پیش رفت. پژوهش‌های تاریخی، هم نقش نوسازی و رشد را نشان داده‌اند و هم پیامدهای جابه‌جایی روستاییان، حاشیه‌نشینی، نابرابری و ضعف کانال‌های مستقل نمایندگی را بررسی کرده‌اند ‪(Hooglund, 1982; Katouzian, 1981; Bayat, 1987, 1997)‬.</w:t>
      </w:r>
    </w:p>
    <w:p>
      <w:pPr>
        <w:spacing w:before="0" w:after="100" w:line="331" w:lineRule="auto"/>
        <w:ind w:firstLine="369"/>
        <w:jc w:val="both"/>
        <w:keepNext w:val="0"/>
        <w:keepLines w:val="0"/>
        <w:widowControl/>
        <w:bidi w:val="1"/>
      </w:pPr>
      <w:r>
        <w:rPr>
          <w:rFonts w:ascii="Noto Naskh Arabic" w:hAnsi="Noto Naskh Arabic" w:eastAsia="Noto Naskh Arabic" w:cs="Noto Naskh Arabic"/>
          <w:b w:val="0"/>
          <w:i w:val="0"/>
          <w:sz w:val="25"/>
          <w:rtl w:val="1"/>
        </w:rPr>
        <w:t>در فضای محدود سیاسی، بخشی از چپ به مبارزهٔ مسلحانه روی آورد. فهم زمینهٔ این انتخاب با توجیه آن یکی نیست. تجربهٔ ایران و کشورهای دیگر نشان داده است که منطق پیشاهنگ مسلح، حتی وقتی در برابر استبداد پدید می‌آید، می‌تواند کثرت‌گرایی را تضعیف کند و سیاست را به رقابت گروه‌های صاحب اسلحه تبدیل سازد. افزون بر آن، شبکه‌های مذهبی، مساجد و روحانیت از ظرفیت سازمانی گسترده‌تری برخوردار بودند و توانستند انقلاب را از متحدان سکولار خود بربایند؛ سپس نیروهای لیبرال، ملی، سوسیالیست و کمونیست را نیز سرکوب کردند ‪(Behrooz, 1999; Abrahamian, 1982; Arjomand, 1988)‬.</w:t>
      </w:r>
    </w:p>
    <w:p>
      <w:pPr>
        <w:spacing w:before="0" w:after="100" w:line="331" w:lineRule="auto"/>
        <w:ind w:firstLine="369"/>
        <w:jc w:val="both"/>
        <w:keepNext w:val="0"/>
        <w:keepLines w:val="0"/>
        <w:widowControl/>
        <w:bidi w:val="1"/>
      </w:pPr>
      <w:r>
        <w:rPr>
          <w:rFonts w:ascii="Noto Naskh Arabic" w:hAnsi="Noto Naskh Arabic" w:eastAsia="Noto Naskh Arabic" w:cs="Noto Naskh Arabic"/>
          <w:b w:val="0"/>
          <w:i w:val="0"/>
          <w:sz w:val="25"/>
          <w:rtl w:val="1"/>
        </w:rPr>
        <w:t>چپ دموکراتیک امروز حق دارد از عدالت اجتماعی، مالیات تصاعدی، دولت رفاه، مالکیت عمومی در بخش‌های راهبردی، مشارکت کارگران در مدیریت، تعاونی‌ها و حتی گذار بلندمدت به نظامی سوسیالیستی دفاع کند. اما این حق به همان شرطی معتبر است که حقوق رقیبان نیز پذیرفته شود: تحول اقتصادی باید با رأی، قانون، پارلمان، اتحادیه‌های آزاد و رضایت عمومی پیش برود، نه با تصرف خشونت‌آمیز کارخانه‌ها، حذف مالکیت بدون دادرسی یا دیکتاتوری یک حزب. در این بازخوانی، «انقلاب سوسیالیستی» می‌تواند به معنای دگرگونی عمیق و مسالمت‌آمیز ساختار قدرت و توزیع ثروت باشد، نه الزاماً جنگ داخلی یا حکومت تک‌حزبی.</w:t>
      </w:r>
    </w:p>
    <w:p>
      <w:pPr>
        <w:spacing w:before="160" w:after="100" w:line="276" w:lineRule="auto"/>
        <w:ind w:firstLine="0"/>
        <w:jc w:val="right"/>
        <w:pStyle w:val="Heading2"/>
        <w:keepNext/>
        <w:keepLines/>
        <w:widowControl/>
        <w:bidi w:val="1"/>
      </w:pPr>
      <w:r>
        <w:rPr>
          <w:rFonts w:ascii="Noto Sans Arabic" w:hAnsi="Noto Sans Arabic" w:eastAsia="Noto Sans Arabic" w:cs="Noto Sans Arabic"/>
          <w:b/>
          <w:i w:val="0"/>
          <w:color w:val="3E667C"/>
          <w:sz w:val="28"/>
          <w:rtl w:val="1"/>
        </w:rPr>
        <w:t>۳–۳. روایت جمهوری‌خواه: مشروطه، مصدق و هراس از حکومت شخصی</w:t>
      </w:r>
    </w:p>
    <w:p>
      <w:pPr>
        <w:spacing w:before="0" w:after="100" w:line="331" w:lineRule="auto"/>
        <w:ind w:firstLine="369"/>
        <w:jc w:val="both"/>
        <w:keepNext w:val="0"/>
        <w:keepLines w:val="0"/>
        <w:widowControl/>
        <w:bidi w:val="1"/>
      </w:pPr>
      <w:r>
        <w:rPr>
          <w:rFonts w:ascii="Noto Naskh Arabic" w:hAnsi="Noto Naskh Arabic" w:eastAsia="Noto Naskh Arabic" w:cs="Noto Naskh Arabic"/>
          <w:b w:val="0"/>
          <w:i w:val="0"/>
          <w:sz w:val="25"/>
          <w:rtl w:val="1"/>
        </w:rPr>
        <w:t>جمهوری‌خواهان سکولار معمولاً خود را وارث کوشش برای حاکمیت قانون، مجلس مستقل، تحزب و پاسخ‌گویی دولت از انقلاب مشروطه تا جنبش ملی‌شدن نفت می‌دانند. در این نگاه، مسئلهٔ اصلی تاریخ معاصر تمرکز قدرت در رأس دولت و ضعف نهادهایی بوده است که باید میان پادشاه، دولت، پارلمان و جامعه تعادل برقرار می‌کردند. از این رو، حتی جمهوری‌خواهانی که جمهوری اسلامی را نفی می‌کنند، ممکن است از بازگشت نام پهلوی و شکل‌گیری شور سیاسی پیرامون یک فرد هراس داشته باشند ‪(Afary, 1996; Parsa, 2016)‬.</w:t>
      </w:r>
    </w:p>
    <w:p>
      <w:pPr>
        <w:spacing w:before="0" w:after="100" w:line="331" w:lineRule="auto"/>
        <w:ind w:firstLine="369"/>
        <w:jc w:val="both"/>
        <w:keepNext w:val="0"/>
        <w:keepLines w:val="0"/>
        <w:widowControl/>
        <w:bidi w:val="1"/>
      </w:pPr>
      <w:r>
        <w:rPr>
          <w:rFonts w:ascii="Noto Naskh Arabic" w:hAnsi="Noto Naskh Arabic" w:eastAsia="Noto Naskh Arabic" w:cs="Noto Naskh Arabic"/>
          <w:b w:val="0"/>
          <w:i w:val="0"/>
          <w:sz w:val="25"/>
          <w:rtl w:val="1"/>
        </w:rPr>
        <w:t>این نگرانی نیز موجه است. دموکراسی فقط نیت خوب رهبر نیست؛ مجموعه‌ای از محدودیت‌های حقوقی و نهادهای مستقل است. اگر هواداران پادشاهی به نام «اقتدار» آماده باشند آزادی رسانه، حق حزب‌سازی، استقلال قاضی یا فعالیت چپ را محدود کنند، جمهوری‌خواهان دلیلی واقعی برای احساس خطر خواهند داشت. در مقابل، جمهوری‌خواهی نیز نباید به معنای حذف پیشینی گزینهٔ پادشاهی مشروطه یا تحقیر میلیون‌ها شهروندی باشد که آن را مطلوب می‌دانند. حق تعیین شکل نظام متعلق به مردم است، نه به روشنفکران یک اردوگاه.</w:t>
      </w:r>
    </w:p>
    <w:p>
      <w:pPr>
        <w:spacing w:before="160" w:after="100" w:line="276" w:lineRule="auto"/>
        <w:ind w:firstLine="0"/>
        <w:jc w:val="right"/>
        <w:pStyle w:val="Heading2"/>
        <w:keepNext/>
        <w:keepLines/>
        <w:widowControl/>
        <w:bidi w:val="1"/>
      </w:pPr>
      <w:r>
        <w:rPr>
          <w:rFonts w:ascii="Noto Sans Arabic" w:hAnsi="Noto Sans Arabic" w:eastAsia="Noto Sans Arabic" w:cs="Noto Sans Arabic"/>
          <w:b/>
          <w:i w:val="0"/>
          <w:color w:val="3E667C"/>
          <w:sz w:val="28"/>
          <w:rtl w:val="1"/>
        </w:rPr>
        <w:t>۳–۴. نتیجهٔ مشترک: هیچ جریان، مالک انحصاری حقیقت تاریخی نیست</w:t>
      </w:r>
    </w:p>
    <w:p>
      <w:pPr>
        <w:spacing w:before="0" w:after="100" w:line="331" w:lineRule="auto"/>
        <w:ind w:firstLine="369"/>
        <w:jc w:val="both"/>
        <w:keepNext w:val="0"/>
        <w:keepLines w:val="0"/>
        <w:widowControl/>
        <w:bidi w:val="1"/>
      </w:pPr>
      <w:r>
        <w:rPr>
          <w:rFonts w:ascii="Noto Naskh Arabic" w:hAnsi="Noto Naskh Arabic" w:eastAsia="Noto Naskh Arabic" w:cs="Noto Naskh Arabic"/>
          <w:b w:val="0"/>
          <w:i w:val="0"/>
          <w:sz w:val="25"/>
          <w:rtl w:val="1"/>
        </w:rPr>
        <w:t>هر سه روایت بخشی از حقیقت را روشن و بخشی را کم‌رنگ می‌کنند. نوسازی پهلوی واقعی بود، همان‌گونه که محدودیت آزادی سیاسی واقعی بود. نابرابری و توسعهٔ نامتوازن اهمیت داشت، اما به‌تنهایی پیروزی اسلام‌گرایی را توضیح نمی‌دهد. بسیاری از مخالفان ۱۳۵۷ آرمان آزادی داشتند، اما برخی انتخاب‌های تاکتیکی و ائتلاف‌های آنان پیامدهای ویرانگر داشت. جمهوری‌خواهان دربارهٔ تمرکز قدرت حق داشتند، اما استقرار جمهوری اسلامی نشان داد که حذف سلطنت لزوماً به جمهوریت و حاکمیت مردم نمی‌انجامد.</w:t>
      </w:r>
    </w:p>
    <w:p>
      <w:pPr>
        <w:spacing w:before="0" w:after="100" w:line="331" w:lineRule="auto"/>
        <w:ind w:firstLine="369"/>
        <w:jc w:val="both"/>
        <w:keepNext w:val="0"/>
        <w:keepLines w:val="0"/>
        <w:widowControl/>
        <w:bidi w:val="1"/>
      </w:pPr>
      <w:r>
        <w:rPr>
          <w:rFonts w:ascii="Noto Naskh Arabic" w:hAnsi="Noto Naskh Arabic" w:eastAsia="Noto Naskh Arabic" w:cs="Noto Naskh Arabic"/>
          <w:b w:val="0"/>
          <w:i w:val="0"/>
          <w:sz w:val="25"/>
          <w:rtl w:val="1"/>
        </w:rPr>
        <w:t>ائتلاف آینده نباید از اعضا بخواهد یک کتاب تاریخ مشترک امضا کنند. آنچه لازم است، پذیرش چهار تمایز است: میان توضیح و توجیه؛ میان مسئولیت اخلاقی و مسئولیت کیفری؛ میان نقد یک جریان و حذف حقوق پیروان آن؛ و میان حافظهٔ قربانیان و مجوز انتقام. حرف‌های ناگفته باید گفته شوند، اما در فضای آزاد و با سند، نه با دادگاه‌های خیابانی و برچسب‌های جمعی.</w:t>
      </w:r>
    </w:p>
    <w:p>
      <w:pPr>
        <w:spacing w:before="240" w:after="100" w:line="276" w:lineRule="auto"/>
        <w:ind w:firstLine="0"/>
        <w:jc w:val="right"/>
        <w:pStyle w:val="Heading1"/>
        <w:keepNext/>
        <w:keepLines/>
        <w:widowControl/>
        <w:bidi w:val="1"/>
      </w:pPr>
      <w:r>
        <w:rPr>
          <w:rFonts w:ascii="Noto Sans Arabic" w:hAnsi="Noto Sans Arabic" w:eastAsia="Noto Sans Arabic" w:cs="Noto Sans Arabic"/>
          <w:b/>
          <w:i w:val="0"/>
          <w:color w:val="20384F"/>
          <w:sz w:val="32"/>
          <w:rtl w:val="1"/>
        </w:rPr>
        <w:t>۴. نظریهٔ ائتلاف: وحدت بر سر قواعد، نه ادغام ایدئولوژیک</w:t>
      </w:r>
    </w:p>
    <w:p>
      <w:pPr>
        <w:spacing w:before="0" w:after="100" w:line="331" w:lineRule="auto"/>
        <w:ind w:firstLine="369"/>
        <w:jc w:val="both"/>
        <w:keepNext w:val="0"/>
        <w:keepLines w:val="0"/>
        <w:widowControl/>
        <w:bidi w:val="1"/>
      </w:pPr>
      <w:r>
        <w:rPr>
          <w:rFonts w:ascii="Noto Naskh Arabic" w:hAnsi="Noto Naskh Arabic" w:eastAsia="Noto Naskh Arabic" w:cs="Noto Naskh Arabic"/>
          <w:b w:val="0"/>
          <w:i w:val="0"/>
          <w:sz w:val="25"/>
          <w:rtl w:val="1"/>
        </w:rPr>
        <w:t>پژوهش‌های مقایسه‌ای دربارهٔ انقلاب‌ها و گذارهای دموکراتیک نشان می‌دهند که تنوع اجتماعی می‌تواند قدرت جنبش را افزایش دهد. دالوم با بررسی کارزارهای اعتراضی ضدحکومتی در فاصلهٔ ۱۹۰۰ تا ۲۰۱۳ نتیجه می‌گیرد که جنبش‌های متشکل از گروه‌های اجتماعی متنوع، مستقل از اندازهٔ صرف اعتراض، احتمال بیشتری برای کنارزدن حکومت اقتدارگرا و حرکت به سوی دموکراسی دارند ‪(Dahlum, 2023)‬. دلیل روشن است: کارگران، طبقهٔ متوسط، متخصصان، زنان، جوانان، اقوام، صاحبان کسب‌وکار و نیروهای اداری هر کدام منابع، شبکه‌ها و اهرم‌های متفاوتی به ائتلاف می‌آورند.</w:t>
      </w:r>
    </w:p>
    <w:p>
      <w:pPr>
        <w:spacing w:before="0" w:after="100" w:line="331" w:lineRule="auto"/>
        <w:ind w:firstLine="369"/>
        <w:jc w:val="both"/>
        <w:keepNext w:val="0"/>
        <w:keepLines w:val="0"/>
        <w:widowControl/>
        <w:bidi w:val="1"/>
      </w:pPr>
      <w:r>
        <w:rPr>
          <w:rFonts w:ascii="Noto Naskh Arabic" w:hAnsi="Noto Naskh Arabic" w:eastAsia="Noto Naskh Arabic" w:cs="Noto Naskh Arabic"/>
          <w:b w:val="0"/>
          <w:i w:val="0"/>
          <w:sz w:val="25"/>
          <w:rtl w:val="1"/>
        </w:rPr>
        <w:t>اما وحدت به‌خودی‌خود دموکراسی نمی‌سازد. واهمن نشان می‌دهد ائتلاف اپوزیسیون می‌تواند احتمال پیروزی و جابه‌جایی قدرت را افزایش دهد، ولی اثر دموکراتیک آن ممکن است کوتاه‌مدت باشد، به‌ویژه اگر پس از پیروزی قواعد رقابت و تقسیم قدرت روشن نباشد ‪(Wahman, 2013)‬. ادبیات کلاسیک گذار نیز بر عدم‌قطعیت، مذاکره، تضمین متقابل و ساخت نهادهایی تأکید دارد که بازیگران را مطمئن سازد شکست انتخاباتی به نابودی آنان منجر نمی‌شود ‪(O’Donnell &amp; Schmitter, 1986; Linz &amp; Stepan, 1996)‬.</w:t>
      </w:r>
    </w:p>
    <w:p>
      <w:pPr>
        <w:spacing w:before="0" w:after="100" w:line="331" w:lineRule="auto"/>
        <w:ind w:firstLine="369"/>
        <w:jc w:val="both"/>
        <w:keepNext w:val="0"/>
        <w:keepLines w:val="0"/>
        <w:widowControl/>
        <w:bidi w:val="1"/>
      </w:pPr>
      <w:r>
        <w:rPr>
          <w:rFonts w:ascii="Noto Naskh Arabic" w:hAnsi="Noto Naskh Arabic" w:eastAsia="Noto Naskh Arabic" w:cs="Noto Naskh Arabic"/>
          <w:b w:val="0"/>
          <w:i w:val="0"/>
          <w:sz w:val="25"/>
          <w:rtl w:val="1"/>
        </w:rPr>
        <w:t>از این منظر، ائتلاف مطلوب ایران نه «جبههٔ عقیدتی» است و نه ادغام همه در تشکیلات یک رهبر. ائتلاف باید قراردادی محدود برای پایان‌دادن به اقتدارگرایی، حفظ کشور، جلوگیری از جنگ داخلی، تضمین آزادی‌ها و برگزاری فرایند مؤسسان باشد. هر جریان باید سازمان، رسانه، برنامهٔ اقتصادی و هویت خود را حفظ کند. آنچه محدود می‌شود نه آرمان، بلکه روش‌های ضددموکراتیک است.</w:t>
      </w:r>
    </w:p>
    <w:tbl>
      <w:tblPr>
        <w:tblW w:type="auto" w:w="0"/>
        <w:jc w:val="center"/>
        <w:tblLayout w:type="fixed"/>
        <w:tblLook w:firstColumn="1" w:firstRow="1" w:lastColumn="0" w:lastRow="0" w:noHBand="0" w:noVBand="1" w:val="04A0"/>
      </w:tblPr>
      <w:tblGrid>
        <w:gridCol w:w="8901"/>
      </w:tblGrid>
      <w:tr>
        <w:tc>
          <w:tcPr>
            <w:tcW w:type="dxa" w:w="9524"/>
            <w:shd w:fill="EAF1F5"/>
            <w:tcMar>
              <w:top w:w="160" w:type="dxa"/>
              <w:start w:w="230" w:type="dxa"/>
              <w:bottom w:w="160" w:type="dxa"/>
              <w:end w:w="230" w:type="dxa"/>
            </w:tcMar>
          </w:tcPr>
          <w:p>
            <w:pPr>
              <w:spacing w:before="0" w:after="0" w:line="307" w:lineRule="auto"/>
              <w:ind w:firstLine="0"/>
              <w:jc w:val="center"/>
              <w:keepNext w:val="0"/>
              <w:keepLines/>
              <w:widowControl/>
              <w:bidi w:val="1"/>
            </w:pPr>
            <w:r>
              <w:rPr>
                <w:rFonts w:ascii="Noto Sans Arabic" w:hAnsi="Noto Sans Arabic" w:eastAsia="Noto Sans Arabic" w:cs="Noto Sans Arabic"/>
                <w:b/>
                <w:i w:val="0"/>
                <w:color w:val="20384F"/>
                <w:sz w:val="26"/>
                <w:rtl w:val="1"/>
              </w:rPr>
              <w:t>فرمول اتحاد چنین است: حق برابر برای رؤیاهای متفاوت + تعهد مشترک به روش‌های دموکراتیک + ضمانت‌های نهادی علیه سلطهٔ هر جریان.</w:t>
            </w:r>
          </w:p>
          <w:p>
            <w:pPr>
              <w:spacing w:before="60" w:after="0" w:line="240" w:lineRule="auto"/>
              <w:ind w:firstLine="0"/>
              <w:jc w:val="center"/>
              <w:keepNext w:val="0"/>
              <w:keepLines w:val="0"/>
              <w:widowControl/>
              <w:bidi w:val="1"/>
            </w:pPr>
            <w:r>
              <w:rPr>
                <w:rFonts w:ascii="Noto Naskh Arabic" w:hAnsi="Noto Naskh Arabic" w:eastAsia="Noto Naskh Arabic" w:cs="Noto Naskh Arabic"/>
                <w:b w:val="0"/>
                <w:i w:val="0"/>
                <w:color w:val="4A4A4A"/>
                <w:sz w:val="21"/>
                <w:rtl w:val="1"/>
              </w:rPr>
              <w:t>تز مرکزی مقاله</w:t>
            </w:r>
          </w:p>
        </w:tc>
        <w:trPr>
          <w:tblHeader/>
        </w:trPr>
      </w:tr>
    </w:tbl>
    <w:p>
      <w:pPr>
        <w:widowControl/>
        <w:spacing w:after="0"/>
      </w:pPr>
    </w:p>
    <w:p>
      <w:pPr>
        <w:spacing w:before="0" w:after="100" w:line="331" w:lineRule="auto"/>
        <w:ind w:firstLine="369"/>
        <w:jc w:val="both"/>
        <w:keepNext w:val="0"/>
        <w:keepLines w:val="0"/>
        <w:widowControl/>
        <w:bidi w:val="1"/>
      </w:pPr>
      <w:r>
        <w:rPr>
          <w:rFonts w:ascii="Noto Naskh Arabic" w:hAnsi="Noto Naskh Arabic" w:eastAsia="Noto Naskh Arabic" w:cs="Noto Naskh Arabic"/>
          <w:b w:val="0"/>
          <w:i w:val="0"/>
          <w:sz w:val="25"/>
          <w:rtl w:val="1"/>
        </w:rPr>
        <w:t>مقاومت مدنیِ بدون خشونت در این فرمول جایگاهی محوری دارد. پژوهش چنووت و استفان نشان داده است که کارزارهای مدنیِ گسترده به دلیل امکان مشارکت گروه‌های بیشتر، ایجاد شکاف در ستون‌های حمایت رژیم و کاهش هزینهٔ ورود شهروندان، در بسیاری از موارد از مبارزهٔ مسلحانه موفق‌تر بوده‌اند و شانس بیشتری برای پیامد دموکراتیک دارند ‪(Chenoweth &amp; Stephan, 2011)‬. این نتیجه به معنای انکار حق دفاع فردی در برابر حملهٔ فوری نیست؛ معنایش آن است که استراتژی سیاسی ائتلاف نباید بر جنگ چریکی، انتقام مسلحانه یا تشکیل ارتش‌های حزبی بنا شود.</w:t>
      </w:r>
    </w:p>
    <w:p>
      <w:pPr>
        <w:spacing w:before="240" w:after="100" w:line="276" w:lineRule="auto"/>
        <w:ind w:firstLine="0"/>
        <w:jc w:val="right"/>
        <w:pStyle w:val="Heading1"/>
        <w:keepNext/>
        <w:keepLines/>
        <w:widowControl/>
        <w:bidi w:val="1"/>
      </w:pPr>
      <w:r>
        <w:rPr>
          <w:rFonts w:ascii="Noto Sans Arabic" w:hAnsi="Noto Sans Arabic" w:eastAsia="Noto Sans Arabic" w:cs="Noto Sans Arabic"/>
          <w:b/>
          <w:i w:val="0"/>
          <w:color w:val="20384F"/>
          <w:sz w:val="32"/>
          <w:rtl w:val="1"/>
        </w:rPr>
        <w:t>۵. رضا پهلوی: رهبر برجسته، تسهیل‌گر گذار یا صاحب آینده؟</w:t>
      </w:r>
    </w:p>
    <w:p>
      <w:pPr>
        <w:spacing w:before="0" w:after="100" w:line="331" w:lineRule="auto"/>
        <w:ind w:firstLine="369"/>
        <w:jc w:val="both"/>
        <w:keepNext w:val="0"/>
        <w:keepLines w:val="0"/>
        <w:widowControl/>
        <w:bidi w:val="1"/>
      </w:pPr>
      <w:r>
        <w:rPr>
          <w:rFonts w:ascii="Noto Naskh Arabic" w:hAnsi="Noto Naskh Arabic" w:eastAsia="Noto Naskh Arabic" w:cs="Noto Naskh Arabic"/>
          <w:b w:val="0"/>
          <w:i w:val="0"/>
          <w:sz w:val="25"/>
          <w:rtl w:val="1"/>
        </w:rPr>
        <w:t>واقع‌بینی سیاسی ایجاب می‌کند نقش رضا پهلوی نه انکار و نه مطلق شود. سرمایهٔ نمادین نام پهلوی، شبکهٔ هواداران، شناخته‌شدگی بین‌المللی و توانایی او در جمع‌کردن بخشی از ایرانیان واقعی است. داده‌های گَمان او را پرطرفدارترین چهرهٔ منفرد اپوزیسیون در سال ۲۰۲۴ نشان می‌دهد، اما همان گزارش تأکید می‌کند که هیچ چهره یا خوشهٔ سیاسی اکثریت ندارد و هیچ نیرویی به‌تنهایی نمایندهٔ تنوع جامعه نیست ‪(Maleki, 2025)‬. نقش برجسته با حق حاکمیت انحصاری مترادف نیست.</w:t>
      </w:r>
    </w:p>
    <w:p>
      <w:pPr>
        <w:spacing w:before="0" w:after="100" w:line="331" w:lineRule="auto"/>
        <w:ind w:firstLine="369"/>
        <w:jc w:val="both"/>
        <w:keepNext w:val="0"/>
        <w:keepLines w:val="0"/>
        <w:widowControl/>
        <w:bidi w:val="1"/>
      </w:pPr>
      <w:r>
        <w:rPr>
          <w:rFonts w:ascii="Noto Naskh Arabic" w:hAnsi="Noto Naskh Arabic" w:eastAsia="Noto Naskh Arabic" w:cs="Noto Naskh Arabic"/>
          <w:b w:val="0"/>
          <w:i w:val="0"/>
          <w:sz w:val="25"/>
          <w:rtl w:val="1"/>
        </w:rPr>
        <w:t>رضا پهلوی در مواضع رسمی خود بر انتخابات آزاد، حاکمیت رأی مردم، مجلس مؤسسان و همه‌پرسی ملی تأکید کرده و خود را تسهیل‌گر یا پلی به سوی مقصد معرفی کرده است ‪(Pahlavi, 2025, 2026; Stecklow et al., 2026)‬. این تعهدها می‌توانند پایهٔ همکاری باشند، اما اعتبارشان به سازوکار اجرایی وابسته است. اعتماد سیاسی با سخنرانی ساخته نمی‌شود؛ با محدودیت داوطلبانهٔ قدرت، شفافیت مالی، پذیرش نقد و دفاع فعال از حق مخالف ساخته می‌شود.</w:t>
      </w:r>
    </w:p>
    <w:p>
      <w:pPr>
        <w:spacing w:before="0" w:after="100" w:line="331" w:lineRule="auto"/>
        <w:ind w:firstLine="369"/>
        <w:jc w:val="both"/>
        <w:keepNext w:val="0"/>
        <w:keepLines w:val="0"/>
        <w:widowControl/>
        <w:bidi w:val="1"/>
      </w:pPr>
      <w:r>
        <w:rPr>
          <w:rFonts w:ascii="Noto Naskh Arabic" w:hAnsi="Noto Naskh Arabic" w:eastAsia="Noto Naskh Arabic" w:cs="Noto Naskh Arabic"/>
          <w:b w:val="0"/>
          <w:i w:val="0"/>
          <w:sz w:val="25"/>
          <w:rtl w:val="1"/>
        </w:rPr>
        <w:t>جمهوری‌خواه یا سوسیالیست می‌تواند از رضا پهلوی به‌عنوان برجسته‌ترین چهرهٔ هماهنگ‌کنندهٔ گذار حمایت کند، بی‌آنکه سلطنت‌طلب شود. این حمایت می‌تواند ماهیت «وکالت محدود برای مأموریت معین» داشته باشد: کمک به همگرایی، حفظ توجه جهانی، ایجاد ارتباط میان شبکه‌های داخل و خارج، تشویق ریزش از دستگاه سرکوب و انتقال قدرت به نهادهای منتخب. در مقابل، پادشاهی‌خواه نیز باید بپذیرد که رأی‌دادن به جمهوری در یک همه‌پرسی آزاد، خیانت یا شورش نیست؛ همان‌گونه که رأی‌دادن به پادشاهی مشروطه حق مشروع شهروندان است.</w:t>
      </w:r>
    </w:p>
    <w:p>
      <w:pPr>
        <w:spacing w:before="0" w:after="100" w:line="331" w:lineRule="auto"/>
        <w:ind w:firstLine="369"/>
        <w:jc w:val="both"/>
        <w:keepNext w:val="0"/>
        <w:keepLines w:val="0"/>
        <w:widowControl/>
        <w:bidi w:val="1"/>
      </w:pPr>
      <w:r>
        <w:rPr>
          <w:rFonts w:ascii="Noto Naskh Arabic" w:hAnsi="Noto Naskh Arabic" w:eastAsia="Noto Naskh Arabic" w:cs="Noto Naskh Arabic"/>
          <w:b w:val="0"/>
          <w:i w:val="0"/>
          <w:sz w:val="25"/>
          <w:rtl w:val="1"/>
        </w:rPr>
        <w:t>برای قابل‌اعتمادشدن این نقش، دست‌کم پنج شرط لازم است: نخست، مأموریت روشن و زمان‌مند؛ دوم، تصمیم‌گیری جمعی در شورای گذار و منع فرمانروایی فردی؛ سوم، انتشار منابع مالی، تعارض منافع و صورت‌جلسات تصمیم‌های اساسی؛ چهارم، تضمین دسترسی برابر جریان‌ها به فرایند مؤسسان؛ و پنجم، پایان خودکار اختیارات انتقالی پس از انتخابات و استقرار نهادهای قانون اساسی. هیچ دولت خارجی نباید رهبر آیندهٔ ایران را تعیین کند؛ حمایت بین‌المللی فقط زمانی مشروع است که تابع اراده و منافع مردم ایران باشد.</w:t>
      </w:r>
    </w:p>
    <w:p>
      <w:pPr>
        <w:spacing w:before="240" w:after="100" w:line="276" w:lineRule="auto"/>
        <w:ind w:firstLine="0"/>
        <w:jc w:val="right"/>
        <w:pStyle w:val="Heading1"/>
        <w:keepNext/>
        <w:keepLines/>
        <w:widowControl/>
        <w:bidi w:val="1"/>
      </w:pPr>
      <w:r>
        <w:rPr>
          <w:rFonts w:ascii="Noto Sans Arabic" w:hAnsi="Noto Sans Arabic" w:eastAsia="Noto Sans Arabic" w:cs="Noto Sans Arabic"/>
          <w:b/>
          <w:i w:val="0"/>
          <w:color w:val="20384F"/>
          <w:sz w:val="32"/>
          <w:rtl w:val="1"/>
        </w:rPr>
        <w:t>۶. تضمین متقابل برای سه خانوادهٔ سیاسی</w:t>
      </w:r>
    </w:p>
    <w:p>
      <w:pPr>
        <w:spacing w:before="0" w:after="100" w:line="331" w:lineRule="auto"/>
        <w:ind w:firstLine="369"/>
        <w:jc w:val="both"/>
        <w:keepNext w:val="0"/>
        <w:keepLines w:val="0"/>
        <w:widowControl/>
        <w:bidi w:val="1"/>
      </w:pPr>
      <w:r>
        <w:rPr>
          <w:rFonts w:ascii="Noto Naskh Arabic" w:hAnsi="Noto Naskh Arabic" w:eastAsia="Noto Naskh Arabic" w:cs="Noto Naskh Arabic"/>
          <w:b w:val="0"/>
          <w:i w:val="0"/>
          <w:sz w:val="25"/>
          <w:rtl w:val="1"/>
        </w:rPr>
        <w:t>ائتلاف زمانی پایدار می‌شود که هر جریان بداند در صورت پیروزی مشترک، نه‌تنها جان و مال، بلکه حق سازمان‌دهی، تبلیغ و پیگیری آرمانش محفوظ خواهد بود. جدول زیر خلاصهٔ «معاملهٔ دموکراتیک» پیشنهادی است:</w:t>
      </w:r>
    </w:p>
    <w:tbl>
      <w:tblPr>
        <w:tblW w:type="auto" w:w="0"/>
        <w:jc w:val="center"/>
        <w:tblLayout w:type="fixed"/>
        <w:tblLook w:firstColumn="1" w:firstRow="1" w:lastColumn="0" w:lastRow="0" w:noHBand="0" w:noVBand="1" w:val="04A0"/>
        <w:bidiVisual/>
      </w:tblPr>
      <w:tblGrid>
        <w:gridCol w:w="2381"/>
        <w:gridCol w:w="2381"/>
        <w:gridCol w:w="2381"/>
        <w:gridCol w:w="2381"/>
      </w:tblGrid>
      <w:tr>
        <w:trPr>
          <w:trHeight w:hRule="atLeast"/>
          <w:tblHeader w:val="true"/>
        </w:trPr>
        <w:tc>
          <w:tcPr>
            <w:tcW w:type="dxa" w:w="1474"/>
            <w:shd w:fill="20384F"/>
            <w:vAlign w:val="center"/>
            <w:tcMar>
              <w:top w:w="120" w:type="dxa"/>
              <w:start w:w="120" w:type="dxa"/>
              <w:bottom w:w="120" w:type="dxa"/>
              <w:end w:w="120" w:type="dxa"/>
            </w:tcMar>
          </w:tcPr>
          <w:p>
            <w:pPr>
              <w:spacing w:before="0" w:after="0" w:line="276" w:lineRule="auto"/>
              <w:ind w:firstLine="0"/>
              <w:jc w:val="center"/>
              <w:keepNext w:val="0"/>
              <w:keepLines w:val="0"/>
              <w:widowControl/>
              <w:bidi w:val="1"/>
            </w:pPr>
            <w:r>
              <w:rPr>
                <w:rFonts w:ascii="Noto Sans Arabic" w:hAnsi="Noto Sans Arabic" w:eastAsia="Noto Sans Arabic" w:cs="Noto Sans Arabic"/>
                <w:b/>
                <w:i w:val="0"/>
                <w:color w:val="FFFFFF"/>
                <w:sz w:val="21"/>
                <w:rtl w:val="1"/>
              </w:rPr>
              <w:t>جریان سیاسی</w:t>
            </w:r>
          </w:p>
        </w:tc>
        <w:tc>
          <w:tcPr>
            <w:tcW w:type="dxa" w:w="2409"/>
            <w:shd w:fill="20384F"/>
            <w:vAlign w:val="center"/>
            <w:tcMar>
              <w:top w:w="120" w:type="dxa"/>
              <w:start w:w="120" w:type="dxa"/>
              <w:bottom w:w="120" w:type="dxa"/>
              <w:end w:w="120" w:type="dxa"/>
            </w:tcMar>
          </w:tcPr>
          <w:p>
            <w:pPr>
              <w:spacing w:before="0" w:after="0" w:line="276" w:lineRule="auto"/>
              <w:ind w:firstLine="0"/>
              <w:jc w:val="center"/>
              <w:keepNext w:val="0"/>
              <w:keepLines w:val="0"/>
              <w:widowControl/>
              <w:bidi w:val="1"/>
            </w:pPr>
            <w:r>
              <w:rPr>
                <w:rFonts w:ascii="Noto Sans Arabic" w:hAnsi="Noto Sans Arabic" w:eastAsia="Noto Sans Arabic" w:cs="Noto Sans Arabic"/>
                <w:b/>
                <w:i w:val="0"/>
                <w:color w:val="FFFFFF"/>
                <w:sz w:val="21"/>
                <w:rtl w:val="1"/>
              </w:rPr>
              <w:t>آرمان مشروع</w:t>
            </w:r>
          </w:p>
        </w:tc>
        <w:tc>
          <w:tcPr>
            <w:tcW w:type="dxa" w:w="2353"/>
            <w:shd w:fill="20384F"/>
            <w:vAlign w:val="center"/>
            <w:tcMar>
              <w:top w:w="120" w:type="dxa"/>
              <w:start w:w="120" w:type="dxa"/>
              <w:bottom w:w="120" w:type="dxa"/>
              <w:end w:w="120" w:type="dxa"/>
            </w:tcMar>
          </w:tcPr>
          <w:p>
            <w:pPr>
              <w:spacing w:before="0" w:after="0" w:line="276" w:lineRule="auto"/>
              <w:ind w:firstLine="0"/>
              <w:jc w:val="center"/>
              <w:keepNext w:val="0"/>
              <w:keepLines w:val="0"/>
              <w:widowControl/>
              <w:bidi w:val="1"/>
            </w:pPr>
            <w:r>
              <w:rPr>
                <w:rFonts w:ascii="Noto Sans Arabic" w:hAnsi="Noto Sans Arabic" w:eastAsia="Noto Sans Arabic" w:cs="Noto Sans Arabic"/>
                <w:b/>
                <w:i w:val="0"/>
                <w:color w:val="FFFFFF"/>
                <w:sz w:val="21"/>
                <w:rtl w:val="1"/>
              </w:rPr>
              <w:t>نگرانی موجه</w:t>
            </w:r>
          </w:p>
        </w:tc>
        <w:tc>
          <w:tcPr>
            <w:tcW w:type="dxa" w:w="2835"/>
            <w:shd w:fill="20384F"/>
            <w:vAlign w:val="center"/>
            <w:tcMar>
              <w:top w:w="120" w:type="dxa"/>
              <w:start w:w="120" w:type="dxa"/>
              <w:bottom w:w="120" w:type="dxa"/>
              <w:end w:w="120" w:type="dxa"/>
            </w:tcMar>
          </w:tcPr>
          <w:p>
            <w:pPr>
              <w:spacing w:before="0" w:after="0" w:line="276" w:lineRule="auto"/>
              <w:ind w:firstLine="0"/>
              <w:jc w:val="center"/>
              <w:keepNext w:val="0"/>
              <w:keepLines w:val="0"/>
              <w:widowControl/>
              <w:bidi w:val="1"/>
            </w:pPr>
            <w:r>
              <w:rPr>
                <w:rFonts w:ascii="Noto Sans Arabic" w:hAnsi="Noto Sans Arabic" w:eastAsia="Noto Sans Arabic" w:cs="Noto Sans Arabic"/>
                <w:b/>
                <w:i w:val="0"/>
                <w:color w:val="FFFFFF"/>
                <w:sz w:val="21"/>
                <w:rtl w:val="1"/>
              </w:rPr>
              <w:t>تضمین متقابل در ائتلاف</w:t>
            </w:r>
          </w:p>
        </w:tc>
      </w:tr>
      <w:tr>
        <w:trPr>
          <w:trHeight w:hRule="atLeast"/>
        </w:trPr>
        <w:tc>
          <w:tcPr>
            <w:tcW w:type="dxa" w:w="1474"/>
            <w:shd w:fill="FFFFFF"/>
            <w:vAlign w:val="center"/>
            <w:tcMar>
              <w:top w:w="120" w:type="dxa"/>
              <w:start w:w="120" w:type="dxa"/>
              <w:bottom w:w="120" w:type="dxa"/>
              <w:end w:w="120" w:type="dxa"/>
            </w:tcMar>
          </w:tcPr>
          <w:p>
            <w:pPr>
              <w:spacing w:before="0" w:after="0" w:line="276" w:lineRule="auto"/>
              <w:ind w:firstLine="0"/>
              <w:jc w:val="center"/>
              <w:keepNext w:val="0"/>
              <w:keepLines w:val="0"/>
              <w:widowControl/>
              <w:bidi w:val="1"/>
            </w:pPr>
            <w:r>
              <w:rPr>
                <w:rFonts w:ascii="Noto Naskh Arabic" w:hAnsi="Noto Naskh Arabic" w:eastAsia="Noto Naskh Arabic" w:cs="Noto Naskh Arabic"/>
                <w:b w:val="0"/>
                <w:i w:val="0"/>
                <w:sz w:val="20"/>
                <w:rtl w:val="1"/>
              </w:rPr>
              <w:t>پادشاهی‌خواهان</w:t>
            </w:r>
          </w:p>
        </w:tc>
        <w:tc>
          <w:tcPr>
            <w:tcW w:type="dxa" w:w="2409"/>
            <w:shd w:fill="FFFFFF"/>
            <w:vAlign w:val="center"/>
            <w:tcMar>
              <w:top w:w="120" w:type="dxa"/>
              <w:start w:w="120" w:type="dxa"/>
              <w:bottom w:w="120" w:type="dxa"/>
              <w:end w:w="120" w:type="dxa"/>
            </w:tcMar>
          </w:tcPr>
          <w:p>
            <w:pPr>
              <w:spacing w:before="0" w:after="0" w:line="276" w:lineRule="auto"/>
              <w:ind w:firstLine="0"/>
              <w:jc w:val="right"/>
              <w:keepNext w:val="0"/>
              <w:keepLines w:val="0"/>
              <w:widowControl/>
              <w:bidi w:val="1"/>
            </w:pPr>
            <w:r>
              <w:rPr>
                <w:rFonts w:ascii="Noto Naskh Arabic" w:hAnsi="Noto Naskh Arabic" w:eastAsia="Noto Naskh Arabic" w:cs="Noto Naskh Arabic"/>
                <w:b w:val="0"/>
                <w:i w:val="0"/>
                <w:sz w:val="20"/>
                <w:rtl w:val="1"/>
              </w:rPr>
              <w:t>امکان تبلیغ آزاد برای پادشاهی مشروطه و دفاع از رضا پهلوی</w:t>
            </w:r>
          </w:p>
        </w:tc>
        <w:tc>
          <w:tcPr>
            <w:tcW w:type="dxa" w:w="2353"/>
            <w:shd w:fill="FFFFFF"/>
            <w:vAlign w:val="center"/>
            <w:tcMar>
              <w:top w:w="120" w:type="dxa"/>
              <w:start w:w="120" w:type="dxa"/>
              <w:bottom w:w="120" w:type="dxa"/>
              <w:end w:w="120" w:type="dxa"/>
            </w:tcMar>
          </w:tcPr>
          <w:p>
            <w:pPr>
              <w:spacing w:before="0" w:after="0" w:line="276" w:lineRule="auto"/>
              <w:ind w:firstLine="0"/>
              <w:jc w:val="right"/>
              <w:keepNext w:val="0"/>
              <w:keepLines w:val="0"/>
              <w:widowControl/>
              <w:bidi w:val="1"/>
            </w:pPr>
            <w:r>
              <w:rPr>
                <w:rFonts w:ascii="Noto Naskh Arabic" w:hAnsi="Noto Naskh Arabic" w:eastAsia="Noto Naskh Arabic" w:cs="Noto Naskh Arabic"/>
                <w:b w:val="0"/>
                <w:i w:val="0"/>
                <w:sz w:val="20"/>
                <w:rtl w:val="1"/>
              </w:rPr>
              <w:t>تکرار ائتلاف ۱۳۵۷، شورش مسلحانه، حذف و انتقام‌جویی</w:t>
            </w:r>
          </w:p>
        </w:tc>
        <w:tc>
          <w:tcPr>
            <w:tcW w:type="dxa" w:w="2835"/>
            <w:shd w:fill="FFFFFF"/>
            <w:vAlign w:val="center"/>
            <w:tcMar>
              <w:top w:w="120" w:type="dxa"/>
              <w:start w:w="120" w:type="dxa"/>
              <w:bottom w:w="120" w:type="dxa"/>
              <w:end w:w="120" w:type="dxa"/>
            </w:tcMar>
          </w:tcPr>
          <w:p>
            <w:pPr>
              <w:spacing w:before="0" w:after="0" w:line="276" w:lineRule="auto"/>
              <w:ind w:firstLine="0"/>
              <w:jc w:val="right"/>
              <w:keepNext w:val="0"/>
              <w:keepLines w:val="0"/>
              <w:widowControl/>
              <w:bidi w:val="1"/>
            </w:pPr>
            <w:r>
              <w:rPr>
                <w:rFonts w:ascii="Noto Naskh Arabic" w:hAnsi="Noto Naskh Arabic" w:eastAsia="Noto Naskh Arabic" w:cs="Noto Naskh Arabic"/>
                <w:b w:val="0"/>
                <w:i w:val="0"/>
                <w:sz w:val="20"/>
                <w:rtl w:val="1"/>
              </w:rPr>
              <w:t>تعهد همهٔ رقبا به روش‌های مسالمت‌آمیز، دادرسی عادلانه و پذیرش نتیجهٔ رأی مردم</w:t>
            </w:r>
          </w:p>
        </w:tc>
      </w:tr>
      <w:tr>
        <w:trPr>
          <w:trHeight w:hRule="atLeast"/>
        </w:trPr>
        <w:tc>
          <w:tcPr>
            <w:tcW w:type="dxa" w:w="1474"/>
            <w:shd w:fill="F3F4F6"/>
            <w:vAlign w:val="center"/>
            <w:tcMar>
              <w:top w:w="120" w:type="dxa"/>
              <w:start w:w="120" w:type="dxa"/>
              <w:bottom w:w="120" w:type="dxa"/>
              <w:end w:w="120" w:type="dxa"/>
            </w:tcMar>
          </w:tcPr>
          <w:p>
            <w:pPr>
              <w:spacing w:before="0" w:after="0" w:line="276" w:lineRule="auto"/>
              <w:ind w:firstLine="0"/>
              <w:jc w:val="center"/>
              <w:keepNext w:val="0"/>
              <w:keepLines w:val="0"/>
              <w:widowControl/>
              <w:bidi w:val="1"/>
            </w:pPr>
            <w:r>
              <w:rPr>
                <w:rFonts w:ascii="Noto Naskh Arabic" w:hAnsi="Noto Naskh Arabic" w:eastAsia="Noto Naskh Arabic" w:cs="Noto Naskh Arabic"/>
                <w:b w:val="0"/>
                <w:i w:val="0"/>
                <w:sz w:val="20"/>
                <w:rtl w:val="1"/>
              </w:rPr>
              <w:t>جمهوری‌خواهان</w:t>
            </w:r>
          </w:p>
        </w:tc>
        <w:tc>
          <w:tcPr>
            <w:tcW w:type="dxa" w:w="2409"/>
            <w:shd w:fill="F3F4F6"/>
            <w:vAlign w:val="center"/>
            <w:tcMar>
              <w:top w:w="120" w:type="dxa"/>
              <w:start w:w="120" w:type="dxa"/>
              <w:bottom w:w="120" w:type="dxa"/>
              <w:end w:w="120" w:type="dxa"/>
            </w:tcMar>
          </w:tcPr>
          <w:p>
            <w:pPr>
              <w:spacing w:before="0" w:after="0" w:line="276" w:lineRule="auto"/>
              <w:ind w:firstLine="0"/>
              <w:jc w:val="right"/>
              <w:keepNext w:val="0"/>
              <w:keepLines w:val="0"/>
              <w:widowControl/>
              <w:bidi w:val="1"/>
            </w:pPr>
            <w:r>
              <w:rPr>
                <w:rFonts w:ascii="Noto Naskh Arabic" w:hAnsi="Noto Naskh Arabic" w:eastAsia="Noto Naskh Arabic" w:cs="Noto Naskh Arabic"/>
                <w:b w:val="0"/>
                <w:i w:val="0"/>
                <w:sz w:val="20"/>
                <w:rtl w:val="1"/>
              </w:rPr>
              <w:t>جمهوری سکولار، تحزب، تفکیک قوا و نظارت بر قدرت</w:t>
            </w:r>
          </w:p>
        </w:tc>
        <w:tc>
          <w:tcPr>
            <w:tcW w:type="dxa" w:w="2353"/>
            <w:shd w:fill="F3F4F6"/>
            <w:vAlign w:val="center"/>
            <w:tcMar>
              <w:top w:w="120" w:type="dxa"/>
              <w:start w:w="120" w:type="dxa"/>
              <w:bottom w:w="120" w:type="dxa"/>
              <w:end w:w="120" w:type="dxa"/>
            </w:tcMar>
          </w:tcPr>
          <w:p>
            <w:pPr>
              <w:spacing w:before="0" w:after="0" w:line="276" w:lineRule="auto"/>
              <w:ind w:firstLine="0"/>
              <w:jc w:val="right"/>
              <w:keepNext w:val="0"/>
              <w:keepLines w:val="0"/>
              <w:widowControl/>
              <w:bidi w:val="1"/>
            </w:pPr>
            <w:r>
              <w:rPr>
                <w:rFonts w:ascii="Noto Naskh Arabic" w:hAnsi="Noto Naskh Arabic" w:eastAsia="Noto Naskh Arabic" w:cs="Noto Naskh Arabic"/>
                <w:b w:val="0"/>
                <w:i w:val="0"/>
                <w:sz w:val="20"/>
                <w:rtl w:val="1"/>
              </w:rPr>
              <w:t>تمرکز قدرت در دست یک فرد و بازتولید حکومت شخصی</w:t>
            </w:r>
          </w:p>
        </w:tc>
        <w:tc>
          <w:tcPr>
            <w:tcW w:type="dxa" w:w="2835"/>
            <w:shd w:fill="F3F4F6"/>
            <w:vAlign w:val="center"/>
            <w:tcMar>
              <w:top w:w="120" w:type="dxa"/>
              <w:start w:w="120" w:type="dxa"/>
              <w:bottom w:w="120" w:type="dxa"/>
              <w:end w:w="120" w:type="dxa"/>
            </w:tcMar>
          </w:tcPr>
          <w:p>
            <w:pPr>
              <w:spacing w:before="0" w:after="0" w:line="276" w:lineRule="auto"/>
              <w:ind w:firstLine="0"/>
              <w:jc w:val="right"/>
              <w:keepNext w:val="0"/>
              <w:keepLines w:val="0"/>
              <w:widowControl/>
              <w:bidi w:val="1"/>
            </w:pPr>
            <w:r>
              <w:rPr>
                <w:rFonts w:ascii="Noto Naskh Arabic" w:hAnsi="Noto Naskh Arabic" w:eastAsia="Noto Naskh Arabic" w:cs="Noto Naskh Arabic"/>
                <w:b w:val="0"/>
                <w:i w:val="0"/>
                <w:sz w:val="20"/>
                <w:rtl w:val="1"/>
              </w:rPr>
              <w:t>دورهٔ گذار محدود، نهادهای جمعی، مجلس مؤسسان منتخب، استقلال قضایی و محدودیت دوره‌های قدرت</w:t>
            </w:r>
          </w:p>
        </w:tc>
      </w:tr>
      <w:tr>
        <w:trPr>
          <w:trHeight w:hRule="atLeast"/>
        </w:trPr>
        <w:tc>
          <w:tcPr>
            <w:tcW w:type="dxa" w:w="1474"/>
            <w:shd w:fill="FFFFFF"/>
            <w:vAlign w:val="center"/>
            <w:tcMar>
              <w:top w:w="120" w:type="dxa"/>
              <w:start w:w="120" w:type="dxa"/>
              <w:bottom w:w="120" w:type="dxa"/>
              <w:end w:w="120" w:type="dxa"/>
            </w:tcMar>
          </w:tcPr>
          <w:p>
            <w:pPr>
              <w:spacing w:before="0" w:after="0" w:line="276" w:lineRule="auto"/>
              <w:ind w:firstLine="0"/>
              <w:jc w:val="center"/>
              <w:keepNext w:val="0"/>
              <w:keepLines w:val="0"/>
              <w:widowControl/>
              <w:bidi w:val="1"/>
            </w:pPr>
            <w:r>
              <w:rPr>
                <w:rFonts w:ascii="Noto Naskh Arabic" w:hAnsi="Noto Naskh Arabic" w:eastAsia="Noto Naskh Arabic" w:cs="Noto Naskh Arabic"/>
                <w:b w:val="0"/>
                <w:i w:val="0"/>
                <w:sz w:val="20"/>
                <w:rtl w:val="1"/>
              </w:rPr>
              <w:t>سوسیالیست‌ها و چپ دموکراتیک</w:t>
            </w:r>
          </w:p>
        </w:tc>
        <w:tc>
          <w:tcPr>
            <w:tcW w:type="dxa" w:w="2409"/>
            <w:shd w:fill="FFFFFF"/>
            <w:vAlign w:val="center"/>
            <w:tcMar>
              <w:top w:w="120" w:type="dxa"/>
              <w:start w:w="120" w:type="dxa"/>
              <w:bottom w:w="120" w:type="dxa"/>
              <w:end w:w="120" w:type="dxa"/>
            </w:tcMar>
          </w:tcPr>
          <w:p>
            <w:pPr>
              <w:spacing w:before="0" w:after="0" w:line="276" w:lineRule="auto"/>
              <w:ind w:firstLine="0"/>
              <w:jc w:val="right"/>
              <w:keepNext w:val="0"/>
              <w:keepLines w:val="0"/>
              <w:widowControl/>
              <w:bidi w:val="1"/>
            </w:pPr>
            <w:r>
              <w:rPr>
                <w:rFonts w:ascii="Noto Naskh Arabic" w:hAnsi="Noto Naskh Arabic" w:eastAsia="Noto Naskh Arabic" w:cs="Noto Naskh Arabic"/>
                <w:b w:val="0"/>
                <w:i w:val="0"/>
                <w:sz w:val="20"/>
                <w:rtl w:val="1"/>
              </w:rPr>
              <w:t>عدالت اجتماعی، تشکل مستقل کارگری و امکان دفاع از برنامهٔ سوسیالیستی</w:t>
            </w:r>
          </w:p>
        </w:tc>
        <w:tc>
          <w:tcPr>
            <w:tcW w:type="dxa" w:w="2353"/>
            <w:shd w:fill="FFFFFF"/>
            <w:vAlign w:val="center"/>
            <w:tcMar>
              <w:top w:w="120" w:type="dxa"/>
              <w:start w:w="120" w:type="dxa"/>
              <w:bottom w:w="120" w:type="dxa"/>
              <w:end w:w="120" w:type="dxa"/>
            </w:tcMar>
          </w:tcPr>
          <w:p>
            <w:pPr>
              <w:spacing w:before="0" w:after="0" w:line="276" w:lineRule="auto"/>
              <w:ind w:firstLine="0"/>
              <w:jc w:val="right"/>
              <w:keepNext w:val="0"/>
              <w:keepLines w:val="0"/>
              <w:widowControl/>
              <w:bidi w:val="1"/>
            </w:pPr>
            <w:r>
              <w:rPr>
                <w:rFonts w:ascii="Noto Naskh Arabic" w:hAnsi="Noto Naskh Arabic" w:eastAsia="Noto Naskh Arabic" w:cs="Noto Naskh Arabic"/>
                <w:b w:val="0"/>
                <w:i w:val="0"/>
                <w:sz w:val="20"/>
                <w:rtl w:val="1"/>
              </w:rPr>
              <w:t>سرمایه‌داری مهارنشده، سرکوب اتحادیه‌ها و حذف مطالبات طبقاتی</w:t>
            </w:r>
          </w:p>
        </w:tc>
        <w:tc>
          <w:tcPr>
            <w:tcW w:type="dxa" w:w="2835"/>
            <w:shd w:fill="FFFFFF"/>
            <w:vAlign w:val="center"/>
            <w:tcMar>
              <w:top w:w="120" w:type="dxa"/>
              <w:start w:w="120" w:type="dxa"/>
              <w:bottom w:w="120" w:type="dxa"/>
              <w:end w:w="120" w:type="dxa"/>
            </w:tcMar>
          </w:tcPr>
          <w:p>
            <w:pPr>
              <w:spacing w:before="0" w:after="0" w:line="276" w:lineRule="auto"/>
              <w:ind w:firstLine="0"/>
              <w:jc w:val="right"/>
              <w:keepNext w:val="0"/>
              <w:keepLines w:val="0"/>
              <w:widowControl/>
              <w:bidi w:val="1"/>
            </w:pPr>
            <w:r>
              <w:rPr>
                <w:rFonts w:ascii="Noto Naskh Arabic" w:hAnsi="Noto Naskh Arabic" w:eastAsia="Noto Naskh Arabic" w:cs="Noto Naskh Arabic"/>
                <w:b w:val="0"/>
                <w:i w:val="0"/>
                <w:sz w:val="20"/>
                <w:rtl w:val="1"/>
              </w:rPr>
              <w:t>آزادی حزب، اتحادیه، اعتصاب و آموزش کارگری؛ مشروط به نفی خشونت و پذیرش صندوق رأی و قانون</w:t>
            </w:r>
          </w:p>
        </w:tc>
      </w:tr>
    </w:tbl>
    <w:p>
      <w:pPr>
        <w:widowControl/>
        <w:spacing w:after="0"/>
      </w:pPr>
    </w:p>
    <w:p>
      <w:pPr>
        <w:spacing w:before="160" w:after="100" w:line="276" w:lineRule="auto"/>
        <w:ind w:firstLine="0"/>
        <w:jc w:val="right"/>
        <w:pStyle w:val="Heading2"/>
        <w:keepNext/>
        <w:keepLines/>
        <w:widowControl/>
        <w:bidi w:val="1"/>
      </w:pPr>
      <w:r>
        <w:rPr>
          <w:rFonts w:ascii="Noto Sans Arabic" w:hAnsi="Noto Sans Arabic" w:eastAsia="Noto Sans Arabic" w:cs="Noto Sans Arabic"/>
          <w:b/>
          <w:i w:val="0"/>
          <w:color w:val="3E667C"/>
          <w:sz w:val="28"/>
          <w:rtl w:val="1"/>
        </w:rPr>
        <w:t>۶–۱. تضمین برای سوسیالیست‌ها و نیروهای کارگری</w:t>
      </w:r>
    </w:p>
    <w:p>
      <w:pPr>
        <w:spacing w:before="0" w:after="100" w:line="331" w:lineRule="auto"/>
        <w:ind w:firstLine="369"/>
        <w:jc w:val="both"/>
        <w:keepNext w:val="0"/>
        <w:keepLines w:val="0"/>
        <w:widowControl/>
        <w:bidi w:val="1"/>
      </w:pPr>
      <w:r>
        <w:rPr>
          <w:rFonts w:ascii="Noto Naskh Arabic" w:hAnsi="Noto Naskh Arabic" w:eastAsia="Noto Naskh Arabic" w:cs="Noto Naskh Arabic"/>
          <w:b w:val="0"/>
          <w:i w:val="0"/>
          <w:sz w:val="25"/>
          <w:rtl w:val="1"/>
        </w:rPr>
        <w:t>یک سوسیالیست دموکرات باید بتواند با امنیت کامل در جنبش شیر و خورشید شرکت کند و هم‌زمان میان کارگران فعالیت نماید، اتحادیه و سندیکا بسازد، شوراهای محل کار را سازمان دهد، کلاس‌های آموزش حقوق کار برگزار کند و دربارهٔ آگاهی طبقاتی، مالکیت و توزیع ثروت بحث کند. آزادی تشکل، آزادی اجتماع و حق مشارکت سیاسی در میثاق بین‌المللی حقوق مدنی و سیاسی تضمین شده‌اند؛ مادهٔ ۸ میثاق حقوق اقتصادی، اجتماعی و فرهنگی نیز حق تشکیل و پیوستن به اتحادیه‌ها را به رسمیت می‌شناسد. کمیته‌های حقوق بشر سازمان ملل حق اعتصاب را لازمهٔ مؤثر آزادی اتحادیه‌ای دانسته‌اند ‪(United Nations, 1966a, 1966b; CESCR &amp; Human Rights Committee, 2019)‬.</w:t>
      </w:r>
    </w:p>
    <w:p>
      <w:pPr>
        <w:spacing w:before="0" w:after="100" w:line="331" w:lineRule="auto"/>
        <w:ind w:firstLine="369"/>
        <w:jc w:val="both"/>
        <w:keepNext w:val="0"/>
        <w:keepLines w:val="0"/>
        <w:widowControl/>
        <w:bidi w:val="1"/>
      </w:pPr>
      <w:r>
        <w:rPr>
          <w:rFonts w:ascii="Noto Naskh Arabic" w:hAnsi="Noto Naskh Arabic" w:eastAsia="Noto Naskh Arabic" w:cs="Noto Naskh Arabic"/>
          <w:b w:val="0"/>
          <w:i w:val="0"/>
          <w:sz w:val="25"/>
          <w:rtl w:val="1"/>
        </w:rPr>
        <w:t>ایران هنوز مقاوله‌نامه‌های بنیادین شمارهٔ ۸۷ و ۹۸ سازمان بین‌المللی کار را تصویب نکرده و کمیتهٔ آزادی انجمن این سازمان بارها دربارهٔ موانع تشکل مستقل در ایران بحث کرده است ‪(International Labour Organization, 2025)‬. قانون اساسی آینده باید فراتر از اعلام کلی، استقلال اتحادیه‌ها از دولت، حزب و کارفرما؛ حق مذاکرهٔ جمعی؛ حق اعتصاب؛ حمایت از فعالان صنفی؛ و دسترسی برابر به دادگاه‌های کار را تضمین کند.</w:t>
      </w:r>
    </w:p>
    <w:p>
      <w:pPr>
        <w:spacing w:before="0" w:after="100" w:line="331" w:lineRule="auto"/>
        <w:ind w:firstLine="369"/>
        <w:jc w:val="both"/>
        <w:keepNext w:val="0"/>
        <w:keepLines w:val="0"/>
        <w:widowControl/>
        <w:bidi w:val="1"/>
      </w:pPr>
      <w:r>
        <w:rPr>
          <w:rFonts w:ascii="Noto Naskh Arabic" w:hAnsi="Noto Naskh Arabic" w:eastAsia="Noto Naskh Arabic" w:cs="Noto Naskh Arabic"/>
          <w:b w:val="0"/>
          <w:i w:val="0"/>
          <w:sz w:val="25"/>
          <w:rtl w:val="1"/>
        </w:rPr>
        <w:t>در مقابل، نیروهای چپ متعهد می‌شوند که تغییر مالکیت و ساختار اقتصاد را فقط از مسیر قانون، انتخابات و دادرسی دنبال کنند. اگر در هنگام گذار سرمایه‌داران وابسته به حکومت فرار کنند یا بنگاه‌های حیاتی رها شوند، پاسخ نباید تصرف بی‌قاعده باشد. مدیریت موقت باید زیر نظر دادگاه، با حسابرسی مستقل، حضور نمایندگان کارگران، حفظ دستمزد و تولید، و تعیین تکلیف نهایی بر اساس قانون انجام شود. این سازوکار هم از فروپاشی تولید جلوگیری می‌کند و هم امکان مشارکت واقعی کارگران را فراهم می‌آورد.</w:t>
      </w:r>
    </w:p>
    <w:p>
      <w:pPr>
        <w:spacing w:before="160" w:after="100" w:line="276" w:lineRule="auto"/>
        <w:ind w:firstLine="0"/>
        <w:jc w:val="right"/>
        <w:pStyle w:val="Heading2"/>
        <w:keepNext/>
        <w:keepLines/>
        <w:widowControl/>
        <w:bidi w:val="1"/>
      </w:pPr>
      <w:r>
        <w:rPr>
          <w:rFonts w:ascii="Noto Sans Arabic" w:hAnsi="Noto Sans Arabic" w:eastAsia="Noto Sans Arabic" w:cs="Noto Sans Arabic"/>
          <w:b/>
          <w:i w:val="0"/>
          <w:color w:val="3E667C"/>
          <w:sz w:val="28"/>
          <w:rtl w:val="1"/>
        </w:rPr>
        <w:t>۶–۲. تضمین برای جمهوری‌خواهان</w:t>
      </w:r>
    </w:p>
    <w:p>
      <w:pPr>
        <w:spacing w:before="0" w:after="100" w:line="331" w:lineRule="auto"/>
        <w:ind w:firstLine="369"/>
        <w:jc w:val="both"/>
        <w:keepNext w:val="0"/>
        <w:keepLines w:val="0"/>
        <w:widowControl/>
        <w:bidi w:val="1"/>
      </w:pPr>
      <w:r>
        <w:rPr>
          <w:rFonts w:ascii="Noto Naskh Arabic" w:hAnsi="Noto Naskh Arabic" w:eastAsia="Noto Naskh Arabic" w:cs="Noto Naskh Arabic"/>
          <w:b w:val="0"/>
          <w:i w:val="0"/>
          <w:sz w:val="25"/>
          <w:rtl w:val="1"/>
        </w:rPr>
        <w:t>یک جمهوری‌خواه باید بتواند از نقش رضا پهلوی در گذار دفاع کند، بی‌آنکه به پادشاهی تعهد بدهد. او باید بتواند حزب تشکیل دهد، شبکهٔ مدنی بسازد، روزنامه و رسانه داشته باشد، برنامهٔ جمهوری سکولار ارائه کند و در صورت مشاهدهٔ گرایش به فردگرایی یا تمرکز قدرت، آزادانه اعتراض و سازمان‌دهی کند. امنیت جمهوری‌خواه نه با وعدهٔ اخلاقی، بلکه با تفکیک قوا، قوهٔ قضائیهٔ مستقل، پارلمان نیرومند، دسترسی آزاد به اطلاعات، محدودیت دورهٔ مسئولیت و امکان عزل قانونی تأمین می‌شود.</w:t>
      </w:r>
    </w:p>
    <w:p>
      <w:pPr>
        <w:spacing w:before="0" w:after="100" w:line="331" w:lineRule="auto"/>
        <w:ind w:firstLine="369"/>
        <w:jc w:val="both"/>
        <w:keepNext w:val="0"/>
        <w:keepLines w:val="0"/>
        <w:widowControl/>
        <w:bidi w:val="1"/>
      </w:pPr>
      <w:r>
        <w:rPr>
          <w:rFonts w:ascii="Noto Naskh Arabic" w:hAnsi="Noto Naskh Arabic" w:eastAsia="Noto Naskh Arabic" w:cs="Noto Naskh Arabic"/>
          <w:b w:val="0"/>
          <w:i w:val="0"/>
          <w:sz w:val="25"/>
          <w:rtl w:val="1"/>
        </w:rPr>
        <w:t>مجلس مؤسسان باید با نظامی تا حد امکان تناسبی انتخاب شود تا گرایش‌های متعدد جامعه، مناطق و اقلیت‌ها مجال نمایندگی پیدا کنند. پژوهش‌های طراحی قانون اساسی در جوامع متکثر بر نمایندگی تناسبی، مشارکت گروه‌های مهم و سازوکارهای تقسیم قدرت تأکید دارند ‪(Lijphart, 2004)‬. جمهوری‌خواهان نیز متقابلاً متعهد می‌شوند که شکل جمهوری را پیش از رأی مردم قطعی ندانند و سلطنت مشروطه را به‌عنوان گزینه‌ای قانونی در رقابت بپذیرند.</w:t>
      </w:r>
    </w:p>
    <w:p>
      <w:pPr>
        <w:spacing w:before="160" w:after="100" w:line="276" w:lineRule="auto"/>
        <w:ind w:firstLine="0"/>
        <w:jc w:val="right"/>
        <w:pStyle w:val="Heading2"/>
        <w:keepNext/>
        <w:keepLines/>
        <w:widowControl/>
        <w:bidi w:val="1"/>
      </w:pPr>
      <w:r>
        <w:rPr>
          <w:rFonts w:ascii="Noto Sans Arabic" w:hAnsi="Noto Sans Arabic" w:eastAsia="Noto Sans Arabic" w:cs="Noto Sans Arabic"/>
          <w:b/>
          <w:i w:val="0"/>
          <w:color w:val="3E667C"/>
          <w:sz w:val="28"/>
          <w:rtl w:val="1"/>
        </w:rPr>
        <w:t>۶–۳. تضمین برای پادشاهی‌خواهان</w:t>
      </w:r>
    </w:p>
    <w:p>
      <w:pPr>
        <w:spacing w:before="0" w:after="100" w:line="331" w:lineRule="auto"/>
        <w:ind w:firstLine="369"/>
        <w:jc w:val="both"/>
        <w:keepNext w:val="0"/>
        <w:keepLines w:val="0"/>
        <w:widowControl/>
        <w:bidi w:val="1"/>
      </w:pPr>
      <w:r>
        <w:rPr>
          <w:rFonts w:ascii="Noto Naskh Arabic" w:hAnsi="Noto Naskh Arabic" w:eastAsia="Noto Naskh Arabic" w:cs="Noto Naskh Arabic"/>
          <w:b w:val="0"/>
          <w:i w:val="0"/>
          <w:sz w:val="25"/>
          <w:rtl w:val="1"/>
        </w:rPr>
        <w:t>پادشاهی‌خواه باید مطمئن باشد که می‌تواند از نام، برنامه و نمادهای مورد باور خود دفاع کند، برای سلطنت مشروطه تبلیغ نماید و رضا پهلوی را مناسب‌ترین چهرهٔ گذار بداند، بی‌آنکه به سبب هویت سیاسی خود طرد شود. او همچنین حق دارد از جمهوری‌خواهان و چپ بخواهد صریحاً شورش مسلحانه، دادگاه انقلابی، مصادرهٔ جمعی و تحمیل شکل نظام از طریق خیابان یا پادگان را نفی کنند.</w:t>
      </w:r>
    </w:p>
    <w:p>
      <w:pPr>
        <w:spacing w:before="0" w:after="100" w:line="331" w:lineRule="auto"/>
        <w:ind w:firstLine="369"/>
        <w:jc w:val="both"/>
        <w:keepNext w:val="0"/>
        <w:keepLines w:val="0"/>
        <w:widowControl/>
        <w:bidi w:val="1"/>
      </w:pPr>
      <w:r>
        <w:rPr>
          <w:rFonts w:ascii="Noto Naskh Arabic" w:hAnsi="Noto Naskh Arabic" w:eastAsia="Noto Naskh Arabic" w:cs="Noto Naskh Arabic"/>
          <w:b w:val="0"/>
          <w:i w:val="0"/>
          <w:sz w:val="25"/>
          <w:rtl w:val="1"/>
        </w:rPr>
        <w:t>اما آزمون واقعی مشروطه‌خواهی، دفاع از حقوق مخالفان است. پادشاهی‌خواهی که فقط آزادی هواداران خود را می‌خواهد، مشروطه‌خواه نیست؛ اقتدارگراست. پذیرش امکان شکست در همه‌پرسی، دفاع از فعالیت آزاد کمونیست دموکراتیک، پذیرش نقد دوران پهلوی و مخالفت با مجازات جمعیِ انقلابیون ۱۳۵۷، هزینهٔ ضروری ادعای حکومت قانون است. اعتماد زمانی دوطرفه می‌شود که هر جریان، حق رقیب را در لحظه‌ای دفاع کند که از سخن او ناخشنود است.</w:t>
      </w:r>
    </w:p>
    <w:p>
      <w:pPr>
        <w:spacing w:before="240" w:after="100" w:line="276" w:lineRule="auto"/>
        <w:ind w:firstLine="0"/>
        <w:jc w:val="right"/>
        <w:pStyle w:val="Heading1"/>
        <w:keepNext/>
        <w:keepLines/>
        <w:widowControl/>
        <w:bidi w:val="1"/>
      </w:pPr>
      <w:r>
        <w:rPr>
          <w:rFonts w:ascii="Noto Sans Arabic" w:hAnsi="Noto Sans Arabic" w:eastAsia="Noto Sans Arabic" w:cs="Noto Sans Arabic"/>
          <w:b/>
          <w:i w:val="0"/>
          <w:color w:val="20384F"/>
          <w:sz w:val="32"/>
          <w:rtl w:val="1"/>
        </w:rPr>
        <w:t>۷. میثاق حداقلی «اتحاد با حفظ پرنسیپ‌ها»</w:t>
      </w:r>
    </w:p>
    <w:p>
      <w:pPr>
        <w:spacing w:before="0" w:after="100" w:line="331" w:lineRule="auto"/>
        <w:ind w:firstLine="369"/>
        <w:jc w:val="both"/>
        <w:keepNext w:val="0"/>
        <w:keepLines w:val="0"/>
        <w:widowControl/>
        <w:bidi w:val="1"/>
      </w:pPr>
      <w:r>
        <w:rPr>
          <w:rFonts w:ascii="Noto Naskh Arabic" w:hAnsi="Noto Naskh Arabic" w:eastAsia="Noto Naskh Arabic" w:cs="Noto Naskh Arabic"/>
          <w:b w:val="0"/>
          <w:i w:val="0"/>
          <w:sz w:val="25"/>
          <w:rtl w:val="1"/>
        </w:rPr>
        <w:t>میثاق حداقلی نباید یک قانون اساسی پنهان یا برنامهٔ اقتصادی کامل باشد. وظیفهٔ آن، تعیین قواعدی است که اجازه دهد نیروهای متعارض در یک کشور و یک میدان سیاسی باقی بمانند. پیشنهاد این مقاله شامل دوازده اصل است:</w:t>
      </w:r>
    </w:p>
    <w:p>
      <w:pPr>
        <w:spacing w:before="20" w:after="80" w:line="322" w:lineRule="auto"/>
        <w:ind w:firstLine="0"/>
        <w:jc w:val="both"/>
        <w:keepNext w:val="0"/>
        <w:keepLines/>
        <w:widowControl/>
        <w:bidi w:val="1"/>
      </w:pPr>
      <w:r>
        <w:rPr>
          <w:rFonts w:ascii="Noto Sans Arabic" w:hAnsi="Noto Sans Arabic" w:eastAsia="Noto Sans Arabic" w:cs="Noto Sans Arabic"/>
          <w:b/>
          <w:i w:val="0"/>
          <w:color w:val="20384F"/>
          <w:sz w:val="25"/>
          <w:rtl w:val="1"/>
        </w:rPr>
        <w:t xml:space="preserve">1. حاکمیت مردم: </w:t>
      </w:r>
      <w:r>
        <w:rPr>
          <w:rFonts w:ascii="Noto Naskh Arabic" w:hAnsi="Noto Naskh Arabic" w:eastAsia="Noto Naskh Arabic" w:cs="Noto Naskh Arabic"/>
          <w:b w:val="0"/>
          <w:i w:val="0"/>
          <w:sz w:val="25"/>
          <w:rtl w:val="1"/>
        </w:rPr>
        <w:t>تنها منبع مشروع قدرت سیاسی رأی آزاد و آگاهانهٔ شهروندان ایران است. هیچ تبار، طبقه، حزب، نیروی نظامی، نهاد دینی یا دولت خارجی حق حاکمیت پیشینی ندارد.</w:t>
      </w:r>
    </w:p>
    <w:p>
      <w:pPr>
        <w:spacing w:before="20" w:after="80" w:line="322" w:lineRule="auto"/>
        <w:ind w:firstLine="0"/>
        <w:jc w:val="both"/>
        <w:keepNext w:val="0"/>
        <w:keepLines/>
        <w:widowControl/>
        <w:bidi w:val="1"/>
      </w:pPr>
      <w:r>
        <w:rPr>
          <w:rFonts w:ascii="Noto Sans Arabic" w:hAnsi="Noto Sans Arabic" w:eastAsia="Noto Sans Arabic" w:cs="Noto Sans Arabic"/>
          <w:b/>
          <w:i w:val="0"/>
          <w:color w:val="20384F"/>
          <w:sz w:val="25"/>
          <w:rtl w:val="1"/>
        </w:rPr>
        <w:t xml:space="preserve">2. جدایی کامل دین و دولت: </w:t>
      </w:r>
      <w:r>
        <w:rPr>
          <w:rFonts w:ascii="Noto Naskh Arabic" w:hAnsi="Noto Naskh Arabic" w:eastAsia="Noto Naskh Arabic" w:cs="Noto Naskh Arabic"/>
          <w:b w:val="0"/>
          <w:i w:val="0"/>
          <w:sz w:val="25"/>
          <w:rtl w:val="1"/>
        </w:rPr>
        <w:t>دولت نسبت به ادیان و بی‌دینی بی‌طرف است؛ آزادی باور و عبادت تضمین می‌شود و هیچ شریعتی منبع انحصاری قانون‌گذاری یا امتیاز سیاسی نخواهد بود.</w:t>
      </w:r>
    </w:p>
    <w:p>
      <w:pPr>
        <w:spacing w:before="20" w:after="80" w:line="322" w:lineRule="auto"/>
        <w:ind w:firstLine="0"/>
        <w:jc w:val="both"/>
        <w:keepNext w:val="0"/>
        <w:keepLines/>
        <w:widowControl/>
        <w:bidi w:val="1"/>
      </w:pPr>
      <w:r>
        <w:rPr>
          <w:rFonts w:ascii="Noto Sans Arabic" w:hAnsi="Noto Sans Arabic" w:eastAsia="Noto Sans Arabic" w:cs="Noto Sans Arabic"/>
          <w:b/>
          <w:i w:val="0"/>
          <w:color w:val="20384F"/>
          <w:sz w:val="25"/>
          <w:rtl w:val="1"/>
        </w:rPr>
        <w:t xml:space="preserve">3. حقوق بشر و برابری شهروندی: </w:t>
      </w:r>
      <w:r>
        <w:rPr>
          <w:rFonts w:ascii="Noto Naskh Arabic" w:hAnsi="Noto Naskh Arabic" w:eastAsia="Noto Naskh Arabic" w:cs="Noto Naskh Arabic"/>
          <w:b w:val="0"/>
          <w:i w:val="0"/>
          <w:sz w:val="25"/>
          <w:rtl w:val="1"/>
        </w:rPr>
        <w:t>حقوق زنان، اقوام، پیروان ادیان، بی‌دینان، دگرباشان، افراد دارای معلولیت و همهٔ گروه‌ها بدون تبعیض تضمین می‌شود؛ حقوق اساسی قابل تعلیق دل‌بخواهی نیست.</w:t>
      </w:r>
    </w:p>
    <w:p>
      <w:pPr>
        <w:spacing w:before="20" w:after="80" w:line="322" w:lineRule="auto"/>
        <w:ind w:firstLine="0"/>
        <w:jc w:val="both"/>
        <w:keepNext w:val="0"/>
        <w:keepLines/>
        <w:widowControl/>
        <w:bidi w:val="1"/>
      </w:pPr>
      <w:r>
        <w:rPr>
          <w:rFonts w:ascii="Noto Sans Arabic" w:hAnsi="Noto Sans Arabic" w:eastAsia="Noto Sans Arabic" w:cs="Noto Sans Arabic"/>
          <w:b/>
          <w:i w:val="0"/>
          <w:color w:val="20384F"/>
          <w:sz w:val="25"/>
          <w:rtl w:val="1"/>
        </w:rPr>
        <w:t xml:space="preserve">4. نفی خشونت سیاسی و ارتش حزبی: </w:t>
      </w:r>
      <w:r>
        <w:rPr>
          <w:rFonts w:ascii="Noto Naskh Arabic" w:hAnsi="Noto Naskh Arabic" w:eastAsia="Noto Naskh Arabic" w:cs="Noto Naskh Arabic"/>
          <w:b w:val="0"/>
          <w:i w:val="0"/>
          <w:sz w:val="25"/>
          <w:rtl w:val="1"/>
        </w:rPr>
        <w:t>ائتلاف، مبارزهٔ مسلحانه، ترور، انتقام، شکنجه و تشکیل نیروی نظامی وابسته به حزب را رد می‌کند. نیروهای مسلح آینده فقط زیر فرمان قانونی و غیرحزبی دولت منتخب خواهند بود.</w:t>
      </w:r>
    </w:p>
    <w:p>
      <w:pPr>
        <w:spacing w:before="20" w:after="80" w:line="322" w:lineRule="auto"/>
        <w:ind w:firstLine="0"/>
        <w:jc w:val="both"/>
        <w:keepNext w:val="0"/>
        <w:keepLines/>
        <w:widowControl/>
        <w:bidi w:val="1"/>
      </w:pPr>
      <w:r>
        <w:rPr>
          <w:rFonts w:ascii="Noto Sans Arabic" w:hAnsi="Noto Sans Arabic" w:eastAsia="Noto Sans Arabic" w:cs="Noto Sans Arabic"/>
          <w:b/>
          <w:i w:val="0"/>
          <w:color w:val="20384F"/>
          <w:sz w:val="25"/>
          <w:rtl w:val="1"/>
        </w:rPr>
        <w:t xml:space="preserve">5. آزادی تحزب، رسانه، اجتماع و تشکل کارگری: </w:t>
      </w:r>
      <w:r>
        <w:rPr>
          <w:rFonts w:ascii="Noto Naskh Arabic" w:hAnsi="Noto Naskh Arabic" w:eastAsia="Noto Naskh Arabic" w:cs="Noto Naskh Arabic"/>
          <w:b w:val="0"/>
          <w:i w:val="0"/>
          <w:sz w:val="25"/>
          <w:rtl w:val="1"/>
        </w:rPr>
        <w:t>همهٔ جریان‌های دموکراتیک حق حزب‌سازی، تبلیغ، تجمع، اتحادیه، سندیکا، اعتصاب و رقابت برابر دارند.</w:t>
      </w:r>
    </w:p>
    <w:p>
      <w:pPr>
        <w:spacing w:before="20" w:after="80" w:line="322" w:lineRule="auto"/>
        <w:ind w:firstLine="0"/>
        <w:jc w:val="both"/>
        <w:keepNext w:val="0"/>
        <w:keepLines/>
        <w:widowControl/>
        <w:bidi w:val="1"/>
      </w:pPr>
      <w:r>
        <w:rPr>
          <w:rFonts w:ascii="Noto Sans Arabic" w:hAnsi="Noto Sans Arabic" w:eastAsia="Noto Sans Arabic" w:cs="Noto Sans Arabic"/>
          <w:b/>
          <w:i w:val="0"/>
          <w:color w:val="20384F"/>
          <w:sz w:val="25"/>
          <w:rtl w:val="1"/>
        </w:rPr>
        <w:t xml:space="preserve">6. تمامیت ارضی همراه با کثرت و تمرکززدایی دموکراتیک: </w:t>
      </w:r>
      <w:r>
        <w:rPr>
          <w:rFonts w:ascii="Noto Naskh Arabic" w:hAnsi="Noto Naskh Arabic" w:eastAsia="Noto Naskh Arabic" w:cs="Noto Naskh Arabic"/>
          <w:b w:val="0"/>
          <w:i w:val="0"/>
          <w:sz w:val="25"/>
          <w:rtl w:val="1"/>
        </w:rPr>
        <w:t>یگانگی سرزمینی ایران حفظ می‌شود و هم‌زمان حقوق فرهنگی، زبانی و ادارهٔ محلی از مسیر قانون اساسی و گفت‌وگوی آزاد تعیین خواهد شد.</w:t>
      </w:r>
    </w:p>
    <w:p>
      <w:pPr>
        <w:spacing w:before="20" w:after="80" w:line="322" w:lineRule="auto"/>
        <w:ind w:firstLine="0"/>
        <w:jc w:val="both"/>
        <w:keepNext w:val="0"/>
        <w:keepLines/>
        <w:widowControl/>
        <w:bidi w:val="1"/>
      </w:pPr>
      <w:r>
        <w:rPr>
          <w:rFonts w:ascii="Noto Sans Arabic" w:hAnsi="Noto Sans Arabic" w:eastAsia="Noto Sans Arabic" w:cs="Noto Sans Arabic"/>
          <w:b/>
          <w:i w:val="0"/>
          <w:color w:val="20384F"/>
          <w:sz w:val="25"/>
          <w:rtl w:val="1"/>
        </w:rPr>
        <w:t xml:space="preserve">7. دولت انتقالی محدود و پاسخ‌گو: </w:t>
      </w:r>
      <w:r>
        <w:rPr>
          <w:rFonts w:ascii="Noto Naskh Arabic" w:hAnsi="Noto Naskh Arabic" w:eastAsia="Noto Naskh Arabic" w:cs="Noto Naskh Arabic"/>
          <w:b w:val="0"/>
          <w:i w:val="0"/>
          <w:sz w:val="25"/>
          <w:rtl w:val="1"/>
        </w:rPr>
        <w:t>نهادهای گذار مأموریت، بودجه، مدت و حوزهٔ اختیار مشخص دارند؛ تصمیم‌های اساسی ثبت و منتشر می‌شوند و هیچ مقام انتقالی مصونیت نامحدود ندارد.</w:t>
      </w:r>
    </w:p>
    <w:p>
      <w:pPr>
        <w:spacing w:before="20" w:after="80" w:line="322" w:lineRule="auto"/>
        <w:ind w:firstLine="0"/>
        <w:jc w:val="both"/>
        <w:keepNext w:val="0"/>
        <w:keepLines/>
        <w:widowControl/>
        <w:bidi w:val="1"/>
      </w:pPr>
      <w:r>
        <w:rPr>
          <w:rFonts w:ascii="Noto Sans Arabic" w:hAnsi="Noto Sans Arabic" w:eastAsia="Noto Sans Arabic" w:cs="Noto Sans Arabic"/>
          <w:b/>
          <w:i w:val="0"/>
          <w:color w:val="20384F"/>
          <w:sz w:val="25"/>
          <w:rtl w:val="1"/>
        </w:rPr>
        <w:t xml:space="preserve">8. تداوم دولت و خدمات عمومی: </w:t>
      </w:r>
      <w:r>
        <w:rPr>
          <w:rFonts w:ascii="Noto Naskh Arabic" w:hAnsi="Noto Naskh Arabic" w:eastAsia="Noto Naskh Arabic" w:cs="Noto Naskh Arabic"/>
          <w:b w:val="0"/>
          <w:i w:val="0"/>
          <w:sz w:val="25"/>
          <w:rtl w:val="1"/>
        </w:rPr>
        <w:t>ارتش ملی، بیمارستان‌ها، آب و برق، بانک‌ها، مدارس، شهرداری‌ها و زنجیرهٔ تأمین باید حفظ شوند. فروپاشی جمهوری اسلامی نباید به فروپاشی ایران یا مجازات کارکنان عادی دولت بینجامد.</w:t>
      </w:r>
    </w:p>
    <w:p>
      <w:pPr>
        <w:spacing w:before="20" w:after="80" w:line="322" w:lineRule="auto"/>
        <w:ind w:firstLine="0"/>
        <w:jc w:val="both"/>
        <w:keepNext w:val="0"/>
        <w:keepLines/>
        <w:widowControl/>
        <w:bidi w:val="1"/>
      </w:pPr>
      <w:r>
        <w:rPr>
          <w:rFonts w:ascii="Noto Sans Arabic" w:hAnsi="Noto Sans Arabic" w:eastAsia="Noto Sans Arabic" w:cs="Noto Sans Arabic"/>
          <w:b/>
          <w:i w:val="0"/>
          <w:color w:val="20384F"/>
          <w:sz w:val="25"/>
          <w:rtl w:val="1"/>
        </w:rPr>
        <w:t xml:space="preserve">9. مجلس مؤسسان منتخب: </w:t>
      </w:r>
      <w:r>
        <w:rPr>
          <w:rFonts w:ascii="Noto Naskh Arabic" w:hAnsi="Noto Naskh Arabic" w:eastAsia="Noto Naskh Arabic" w:cs="Noto Naskh Arabic"/>
          <w:b w:val="0"/>
          <w:i w:val="0"/>
          <w:sz w:val="25"/>
          <w:rtl w:val="1"/>
        </w:rPr>
        <w:t>نمایندگان با انتخابات آزاد، رقابتی و تا حد امکان تناسبی انتخاب می‌شوند و قانون اساسی را در معرض گفت‌وگوی عمومی قرار می‌دهند.</w:t>
      </w:r>
    </w:p>
    <w:p>
      <w:pPr>
        <w:spacing w:before="20" w:after="80" w:line="322" w:lineRule="auto"/>
        <w:ind w:firstLine="0"/>
        <w:jc w:val="both"/>
        <w:keepNext w:val="0"/>
        <w:keepLines/>
        <w:widowControl/>
        <w:bidi w:val="1"/>
      </w:pPr>
      <w:r>
        <w:rPr>
          <w:rFonts w:ascii="Noto Sans Arabic" w:hAnsi="Noto Sans Arabic" w:eastAsia="Noto Sans Arabic" w:cs="Noto Sans Arabic"/>
          <w:b/>
          <w:i w:val="0"/>
          <w:color w:val="20384F"/>
          <w:sz w:val="25"/>
          <w:rtl w:val="1"/>
        </w:rPr>
        <w:t xml:space="preserve">10. همه‌پرسی آزاد دربارهٔ قانون اساسی و شکل نظام: </w:t>
      </w:r>
      <w:r>
        <w:rPr>
          <w:rFonts w:ascii="Noto Naskh Arabic" w:hAnsi="Noto Naskh Arabic" w:eastAsia="Noto Naskh Arabic" w:cs="Noto Naskh Arabic"/>
          <w:b w:val="0"/>
          <w:i w:val="0"/>
          <w:sz w:val="25"/>
          <w:rtl w:val="1"/>
        </w:rPr>
        <w:t>سلطنت مشروطه، جمهوری یا هر گزینهٔ دموکراتیک دیگر تنها با رأی مردم مشروع می‌شود. هیچ نام یا نمادی نتیجه را پیشاپیش تعیین نمی‌کند.</w:t>
      </w:r>
    </w:p>
    <w:p>
      <w:pPr>
        <w:spacing w:before="20" w:after="80" w:line="322" w:lineRule="auto"/>
        <w:ind w:firstLine="0"/>
        <w:jc w:val="both"/>
        <w:keepNext w:val="0"/>
        <w:keepLines/>
        <w:widowControl/>
        <w:bidi w:val="1"/>
      </w:pPr>
      <w:r>
        <w:rPr>
          <w:rFonts w:ascii="Noto Sans Arabic" w:hAnsi="Noto Sans Arabic" w:eastAsia="Noto Sans Arabic" w:cs="Noto Sans Arabic"/>
          <w:b/>
          <w:i w:val="0"/>
          <w:color w:val="20384F"/>
          <w:sz w:val="25"/>
          <w:rtl w:val="1"/>
        </w:rPr>
        <w:t xml:space="preserve">11. عدالت انتقالی، نه انتقام: </w:t>
      </w:r>
      <w:r>
        <w:rPr>
          <w:rFonts w:ascii="Noto Naskh Arabic" w:hAnsi="Noto Naskh Arabic" w:eastAsia="Noto Naskh Arabic" w:cs="Noto Naskh Arabic"/>
          <w:b w:val="0"/>
          <w:i w:val="0"/>
          <w:sz w:val="25"/>
          <w:rtl w:val="1"/>
        </w:rPr>
        <w:t>جرایم سنگین با دادرسی عادلانه پیگیری می‌شوند؛ هم‌زمان حقیقت‌یابی، جبران خسارت، اصلاح نهادها و منع مسئولیت جمعی در دستور کار است.</w:t>
      </w:r>
    </w:p>
    <w:p>
      <w:pPr>
        <w:spacing w:before="20" w:after="80" w:line="322" w:lineRule="auto"/>
        <w:ind w:firstLine="0"/>
        <w:jc w:val="both"/>
        <w:keepNext w:val="0"/>
        <w:keepLines/>
        <w:widowControl/>
        <w:bidi w:val="1"/>
      </w:pPr>
      <w:r>
        <w:rPr>
          <w:rFonts w:ascii="Noto Sans Arabic" w:hAnsi="Noto Sans Arabic" w:eastAsia="Noto Sans Arabic" w:cs="Noto Sans Arabic"/>
          <w:b/>
          <w:i w:val="0"/>
          <w:color w:val="20384F"/>
          <w:sz w:val="25"/>
          <w:rtl w:val="1"/>
        </w:rPr>
        <w:t xml:space="preserve">12. استقلال ملی و سیاست خارجی مسئولانه: </w:t>
      </w:r>
      <w:r>
        <w:rPr>
          <w:rFonts w:ascii="Noto Naskh Arabic" w:hAnsi="Noto Naskh Arabic" w:eastAsia="Noto Naskh Arabic" w:cs="Noto Naskh Arabic"/>
          <w:b w:val="0"/>
          <w:i w:val="0"/>
          <w:sz w:val="25"/>
          <w:rtl w:val="1"/>
        </w:rPr>
        <w:t>روابط خارجی بر صلح، منافع ملی، عادی‌سازی مسئولانه، احترام به حقوق بین‌الملل و پرهیز از وابستگی به قدرت‌های خارجی استوار می‌شود.</w:t>
      </w:r>
    </w:p>
    <w:p>
      <w:pPr>
        <w:spacing w:before="240" w:after="100" w:line="276" w:lineRule="auto"/>
        <w:ind w:firstLine="0"/>
        <w:jc w:val="right"/>
        <w:pStyle w:val="Heading1"/>
        <w:keepNext/>
        <w:keepLines/>
        <w:widowControl/>
        <w:bidi w:val="1"/>
      </w:pPr>
      <w:r>
        <w:rPr>
          <w:rFonts w:ascii="Noto Sans Arabic" w:hAnsi="Noto Sans Arabic" w:eastAsia="Noto Sans Arabic" w:cs="Noto Sans Arabic"/>
          <w:b/>
          <w:i w:val="0"/>
          <w:color w:val="20384F"/>
          <w:sz w:val="32"/>
          <w:rtl w:val="1"/>
        </w:rPr>
        <w:t>۸. معماری نهادی گذار: چگونه وعده‌ها را قابل اجرا کنیم؟</w:t>
      </w:r>
    </w:p>
    <w:p>
      <w:pPr>
        <w:spacing w:before="0" w:after="100" w:line="331" w:lineRule="auto"/>
        <w:ind w:firstLine="369"/>
        <w:jc w:val="both"/>
        <w:keepNext w:val="0"/>
        <w:keepLines w:val="0"/>
        <w:widowControl/>
        <w:bidi w:val="1"/>
      </w:pPr>
      <w:r>
        <w:rPr>
          <w:rFonts w:ascii="Noto Naskh Arabic" w:hAnsi="Noto Naskh Arabic" w:eastAsia="Noto Naskh Arabic" w:cs="Noto Naskh Arabic"/>
          <w:b w:val="0"/>
          <w:i w:val="0"/>
          <w:sz w:val="25"/>
          <w:rtl w:val="1"/>
        </w:rPr>
        <w:t>مشکل بسیاری از ائتلاف‌ها آن است که در سطح شعار «همه با هم» باقی می‌مانند. هنگامی که قدرت ناگهان در دسترس قرار می‌گیرد، نبود قواعد روشن رقابت را به نزاع تبدیل می‌کند. بنابراین، هم‌زمان با میثاق سیاسی باید معماری اجرایی طراحی شود. شورای گذار باید ترکیبی از نمایندگان جریان‌های سیاسی، جامعهٔ مدنی، زنان، متخصصان، کارگران، مناطق و نهادهای داخل کشور باشد؛ اعضا معیارهای صلاحیت، تعارض منافع و پاسخ‌گویی عمومی داشته باشند و هیچ جریان حق اکثریت مصنوعی یا حق وتوی دائمی نداشته باشد.</w:t>
      </w:r>
    </w:p>
    <w:p>
      <w:pPr>
        <w:spacing w:before="0" w:after="100" w:line="331" w:lineRule="auto"/>
        <w:ind w:firstLine="369"/>
        <w:jc w:val="both"/>
        <w:keepNext w:val="0"/>
        <w:keepLines w:val="0"/>
        <w:widowControl/>
        <w:bidi w:val="1"/>
      </w:pPr>
      <w:r>
        <w:rPr>
          <w:rFonts w:ascii="Noto Naskh Arabic" w:hAnsi="Noto Naskh Arabic" w:eastAsia="Noto Naskh Arabic" w:cs="Noto Naskh Arabic"/>
          <w:b w:val="0"/>
          <w:i w:val="0"/>
          <w:sz w:val="25"/>
          <w:rtl w:val="1"/>
        </w:rPr>
        <w:t>ریاست یا سخنگویی رضا پهلوی در چنین ساختاری می‌تواند از سرمایهٔ نمادین او استفاده کند، بدون آنکه شورا به دربار یا ستاد شخصی تبدیل شود. تصمیم‌های مربوط به امنیت، بودجه، انتصابات عالی، روابط خارجی و زمان‌بندی انتخابات باید جمعی و قابل نظارت باشند. یک دبیرخانهٔ حرفه‌ای، کمیتهٔ حقوقی، تیم تداوم خدمات، گروه اقتصادی اضطراری و واحد ارتباط با نیروهای نظامی و اداری لازم است؛ اما همهٔ این نهادها باید با «بند غروب» پس از استقرار حکومت منتخب منحل یا بازتعریف شوند.</w:t>
      </w:r>
    </w:p>
    <w:p>
      <w:pPr>
        <w:spacing w:before="0" w:after="100" w:line="331" w:lineRule="auto"/>
        <w:ind w:firstLine="369"/>
        <w:jc w:val="both"/>
        <w:keepNext w:val="0"/>
        <w:keepLines w:val="0"/>
        <w:widowControl/>
        <w:bidi w:val="1"/>
      </w:pPr>
      <w:r>
        <w:rPr>
          <w:rFonts w:ascii="Noto Naskh Arabic" w:hAnsi="Noto Naskh Arabic" w:eastAsia="Noto Naskh Arabic" w:cs="Noto Naskh Arabic"/>
          <w:b w:val="0"/>
          <w:i w:val="0"/>
          <w:sz w:val="25"/>
          <w:rtl w:val="1"/>
        </w:rPr>
        <w:t>کمیسیون مستقل انتخابات باید پیش از نخستین رأی‌گیری تشکیل شود و شامل متخصصان غیرحزبی، نمایندگان جریان‌ها و ناظران معتبر باشد. ثبت رأی‌دهندگان، دسترسی رسانه‌ای، تأمین مالی احزاب، رأی ایرانیان خارج کشور، امنیت صندوق‌ها، رسیدگی به شکایت‌ها و انتشار نتایج باید قواعد ازپیش‌اعلام‌شده داشته باشند. مجلس مؤسسان نباید منصوب شورای گذار باشد؛ باید منتخب مردم باشد. قانون اساسی نیز نباید فقط یک متن حقوقی پشت درهای بسته باشد؛ باید با مشورت عمومی، ترجمه به زبان‌های رایج کشور و فرصت واقعی نقد تدوین شود.</w:t>
      </w:r>
    </w:p>
    <w:p>
      <w:pPr>
        <w:spacing w:before="0" w:after="100" w:line="331" w:lineRule="auto"/>
        <w:ind w:firstLine="369"/>
        <w:jc w:val="both"/>
        <w:keepNext w:val="0"/>
        <w:keepLines w:val="0"/>
        <w:widowControl/>
        <w:bidi w:val="1"/>
      </w:pPr>
      <w:r>
        <w:rPr>
          <w:rFonts w:ascii="Noto Naskh Arabic" w:hAnsi="Noto Naskh Arabic" w:eastAsia="Noto Naskh Arabic" w:cs="Noto Naskh Arabic"/>
          <w:b w:val="0"/>
          <w:i w:val="0"/>
          <w:sz w:val="25"/>
          <w:rtl w:val="1"/>
        </w:rPr>
        <w:t>قوهٔ قضائیهٔ انتقالی وظیفه‌ای دشوار دارد: هم باید از تداوم دادرسی‌های عادی و امنیت حقوقی محافظت کند، هم ساختارهای وابسته و دادگاه‌های سرکوبگر را اصلاح نماید. ایجاد شعب مستقل برای جرایم سنگین، حفاظت از قضات و وکلا، ثبت و نگهداری اسناد، منع شکنجه و دسترسی فوری متهم به وکیل، نخستین سنگ‌های بنای اعتماد عمومی‌اند. امنیت بدون قانون به انتقام تبدیل می‌شود و قانون بدون ظرفیت اجرایی به بیانیه‌ای بی‌اثر.</w:t>
      </w:r>
    </w:p>
    <w:p>
      <w:pPr>
        <w:spacing w:before="240" w:after="100" w:line="276" w:lineRule="auto"/>
        <w:ind w:firstLine="0"/>
        <w:jc w:val="right"/>
        <w:pStyle w:val="Heading1"/>
        <w:keepNext/>
        <w:keepLines/>
        <w:widowControl/>
        <w:bidi w:val="1"/>
      </w:pPr>
      <w:r>
        <w:rPr>
          <w:rFonts w:ascii="Noto Sans Arabic" w:hAnsi="Noto Sans Arabic" w:eastAsia="Noto Sans Arabic" w:cs="Noto Sans Arabic"/>
          <w:b/>
          <w:i w:val="0"/>
          <w:color w:val="20384F"/>
          <w:sz w:val="32"/>
          <w:rtl w:val="1"/>
        </w:rPr>
        <w:t>۹. عدالت انتقالی: تمایز میان حقیقت، مسئولیت و انتقام</w:t>
      </w:r>
    </w:p>
    <w:p>
      <w:pPr>
        <w:spacing w:before="0" w:after="100" w:line="331" w:lineRule="auto"/>
        <w:ind w:firstLine="369"/>
        <w:jc w:val="both"/>
        <w:keepNext w:val="0"/>
        <w:keepLines w:val="0"/>
        <w:widowControl/>
        <w:bidi w:val="1"/>
      </w:pPr>
      <w:r>
        <w:rPr>
          <w:rFonts w:ascii="Noto Naskh Arabic" w:hAnsi="Noto Naskh Arabic" w:eastAsia="Noto Naskh Arabic" w:cs="Noto Naskh Arabic"/>
          <w:b w:val="0"/>
          <w:i w:val="0"/>
          <w:sz w:val="25"/>
          <w:rtl w:val="1"/>
        </w:rPr>
        <w:t>ایران پس از جمهوری اسلامی با انبوهی از پرونده‌ها روبه‌رو خواهد بود: اعدام‌ها، شکنجه، ناپدیدسازی، سرکوب اعتراضات، فساد، مصادره، تبعیض، خشونت جنسی و تخریب منابع عمومی. نادیده‌گرفتن این جرایم صلح نمی‌آورد؛ اما انتقام جمعی نیز دور تازه‌ای از خشونت می‌سازد. تجربهٔ بین‌المللی، عدالت انتقالی را مجموعه‌ای از تعقیب کیفری، حقیقت‌یابی، جبران خسارت، اصلاح نهادها و حفظ حافظه می‌داند؛ سازمان ملل تأکید کرده است که صلح، عدالت و دموکراسی اهداف متعارض نیستند و باید هم‌زمان دنبال شوند ‪(United Nations Secretary-General, 2004; Teitel, 2000)‬.</w:t>
      </w:r>
    </w:p>
    <w:p>
      <w:pPr>
        <w:spacing w:before="0" w:after="100" w:line="331" w:lineRule="auto"/>
        <w:ind w:firstLine="369"/>
        <w:jc w:val="both"/>
        <w:keepNext w:val="0"/>
        <w:keepLines w:val="0"/>
        <w:widowControl/>
        <w:bidi w:val="1"/>
      </w:pPr>
      <w:r>
        <w:rPr>
          <w:rFonts w:ascii="Noto Naskh Arabic" w:hAnsi="Noto Naskh Arabic" w:eastAsia="Noto Naskh Arabic" w:cs="Noto Naskh Arabic"/>
          <w:b w:val="0"/>
          <w:i w:val="0"/>
          <w:sz w:val="25"/>
          <w:rtl w:val="1"/>
        </w:rPr>
        <w:t>سه سطح مسئولیت باید از هم جدا شوند. مسئولیت کیفری فقط برای عملی است که قانوناً جرم بوده، با دلیل معتبر به فرد نسبت داده شود و در دادگاه مستقل اثبات گردد. مسئولیت سیاسی می‌تواند شامل دفاع از سیاست غلط، مشارکت در ساختار قدرت یا خطای راهبردی باشد و پاسخ آن نقد، کناره‌گیری یا داوری انتخاباتی است. مسئولیت اخلاقی گسترده‌تر است و ممکن است به توضیح، عذرخواهی یا پذیرش سهم تاریخی بینجامد، اما نباید با زور دولت تحمیل شود.</w:t>
      </w:r>
    </w:p>
    <w:p>
      <w:pPr>
        <w:spacing w:before="0" w:after="100" w:line="331" w:lineRule="auto"/>
        <w:ind w:firstLine="369"/>
        <w:jc w:val="both"/>
        <w:keepNext w:val="0"/>
        <w:keepLines w:val="0"/>
        <w:widowControl/>
        <w:bidi w:val="1"/>
      </w:pPr>
      <w:r>
        <w:rPr>
          <w:rFonts w:ascii="Noto Naskh Arabic" w:hAnsi="Noto Naskh Arabic" w:eastAsia="Noto Naskh Arabic" w:cs="Noto Naskh Arabic"/>
          <w:b w:val="0"/>
          <w:i w:val="0"/>
          <w:sz w:val="25"/>
          <w:rtl w:val="1"/>
        </w:rPr>
        <w:t>بر این اساس، کسی صرفاً به دلیل شرکت در انقلاب ۱۳۵۷، عضویت سابق در یک حزب، خدمت اداری در جمهوری اسلامی یا خویشاوندی با مقام حکومتی مجرم نیست. در مقابل، مقام بلندپایه نیز صرفاً به دلیل تغییر موضع یا پیوستن دیرهنگام به مردم از پاسخ‌گویی کیفری معاف نمی‌شود. پاک‌سازی اداری باید فردی، قابل اعتراض و متناسب باشد. کارکنان عادی که در جرم مشارکت نداشته‌اند برای تداوم کشور ضروری‌اند؛ عاملان جنایت سنگین باید در دادگاه عادلانه پاسخ‌گو باشند.</w:t>
      </w:r>
    </w:p>
    <w:p>
      <w:pPr>
        <w:spacing w:before="0" w:after="100" w:line="331" w:lineRule="auto"/>
        <w:ind w:firstLine="369"/>
        <w:jc w:val="both"/>
        <w:keepNext w:val="0"/>
        <w:keepLines w:val="0"/>
        <w:widowControl/>
        <w:bidi w:val="1"/>
      </w:pPr>
      <w:r>
        <w:rPr>
          <w:rFonts w:ascii="Noto Naskh Arabic" w:hAnsi="Noto Naskh Arabic" w:eastAsia="Noto Naskh Arabic" w:cs="Noto Naskh Arabic"/>
          <w:b w:val="0"/>
          <w:i w:val="0"/>
          <w:sz w:val="25"/>
          <w:rtl w:val="1"/>
        </w:rPr>
        <w:t>کمیسیون حقیقت می‌تواند روایت قربانیان، اسناد و الگوهای نهادی سرکوب را ثبت کند. برنامهٔ جبران خسارت باید شامل حمایت پزشکی و روانی، بازگرداندن حقوق، غرامت، یادمان و اصلاح سوابق باشد. عفو عمومی برای جنایت علیه بشریت، شکنجه و کشتار گسترده قابل قبول نیست؛ اما برای جرایم سیاسی خُرد و رفتارهایی که با همکاری صادقانه، افشای حقیقت و عدم مشارکت در خشونت سنگین همراه بوده‌اند، سازوکارهای تخفیف می‌تواند بررسی شود. عدالت باید به پایان فرهنگ مصونیت بینجامد، نه به تعویض قربانی و جلاد.</w:t>
      </w:r>
    </w:p>
    <w:p>
      <w:pPr>
        <w:spacing w:before="240" w:after="100" w:line="276" w:lineRule="auto"/>
        <w:ind w:firstLine="0"/>
        <w:jc w:val="right"/>
        <w:pStyle w:val="Heading1"/>
        <w:keepNext/>
        <w:keepLines/>
        <w:widowControl/>
        <w:bidi w:val="1"/>
      </w:pPr>
      <w:r>
        <w:rPr>
          <w:rFonts w:ascii="Noto Sans Arabic" w:hAnsi="Noto Sans Arabic" w:eastAsia="Noto Sans Arabic" w:cs="Noto Sans Arabic"/>
          <w:b/>
          <w:i w:val="0"/>
          <w:color w:val="20384F"/>
          <w:sz w:val="32"/>
          <w:rtl w:val="1"/>
        </w:rPr>
        <w:t>۱۰. اقتصاد گذار و نقش طبقهٔ کارگر</w:t>
      </w:r>
    </w:p>
    <w:p>
      <w:pPr>
        <w:spacing w:before="0" w:after="100" w:line="331" w:lineRule="auto"/>
        <w:ind w:firstLine="369"/>
        <w:jc w:val="both"/>
        <w:keepNext w:val="0"/>
        <w:keepLines w:val="0"/>
        <w:widowControl/>
        <w:bidi w:val="1"/>
      </w:pPr>
      <w:r>
        <w:rPr>
          <w:rFonts w:ascii="Noto Naskh Arabic" w:hAnsi="Noto Naskh Arabic" w:eastAsia="Noto Naskh Arabic" w:cs="Noto Naskh Arabic"/>
          <w:b w:val="0"/>
          <w:i w:val="0"/>
          <w:sz w:val="25"/>
          <w:rtl w:val="1"/>
        </w:rPr>
        <w:t>گذار سیاسی بدون برنامهٔ اقتصادی می‌تواند به سرعت مشروعیت خود را از دست بدهد. جنگ، تحریم، فرار سرمایه، فساد، شبکه‌های شبه‌دولتی و اختلال تجارت، خطر تعطیلی کارخانه‌ها، بیکاری و تورم را افزایش می‌دهند. از این رو، اختلاف میان بازار آزاد و سوسیالیسم نباید مانع یک توافق اضطراری شود: حفظ تولید، پرداخت حقوق، تأمین غذا و دارو، ثبات بانک‌ها، حفاظت از پس‌اندازهای کوچک و جلوگیری از انتقال دارایی‌های عمومی به شبکه‌های جدید قدرت.</w:t>
      </w:r>
    </w:p>
    <w:p>
      <w:pPr>
        <w:spacing w:before="0" w:after="100" w:line="331" w:lineRule="auto"/>
        <w:ind w:firstLine="369"/>
        <w:jc w:val="both"/>
        <w:keepNext w:val="0"/>
        <w:keepLines w:val="0"/>
        <w:widowControl/>
        <w:bidi w:val="1"/>
      </w:pPr>
      <w:r>
        <w:rPr>
          <w:rFonts w:ascii="Noto Naskh Arabic" w:hAnsi="Noto Naskh Arabic" w:eastAsia="Noto Naskh Arabic" w:cs="Noto Naskh Arabic"/>
          <w:b w:val="0"/>
          <w:i w:val="0"/>
          <w:sz w:val="25"/>
          <w:rtl w:val="1"/>
        </w:rPr>
        <w:t>طبقهٔ کارگر نباید فقط نیروی اعتصاب و فشار باشد؛ باید شریک طراحی و ادارهٔ گذار باشد. نمایندگان منتخب کارگران می‌توانند در هیئت‌های موقت بنگاه‌های رهاشده، کمیسیون سیاست دستمزد، صندوق بیکاری و نهادهای ایمنی کار حضور داشته باشند. اتحادیه‌ها باید مستقل از دولت و احزاب باقی بمانند؛ زیرا اتحادیهٔ وابسته به دولت ابزار کنترل است و اتحادیهٔ وابسته به حزب نیز ممکن است حقوق اعضا را فدای هدف سیاسی کند.</w:t>
      </w:r>
    </w:p>
    <w:p>
      <w:pPr>
        <w:spacing w:before="0" w:after="100" w:line="331" w:lineRule="auto"/>
        <w:ind w:firstLine="369"/>
        <w:jc w:val="both"/>
        <w:keepNext w:val="0"/>
        <w:keepLines w:val="0"/>
        <w:widowControl/>
        <w:bidi w:val="1"/>
      </w:pPr>
      <w:r>
        <w:rPr>
          <w:rFonts w:ascii="Noto Naskh Arabic" w:hAnsi="Noto Naskh Arabic" w:eastAsia="Noto Naskh Arabic" w:cs="Noto Naskh Arabic"/>
          <w:b w:val="0"/>
          <w:i w:val="0"/>
          <w:sz w:val="25"/>
          <w:rtl w:val="1"/>
        </w:rPr>
        <w:t>در بنگاه‌های متعلق به نهادهای حکومتی یا کسانی که متهم به فسادند، مصادرهٔ فوری و بی‌قاعده می‌تواند تولید و اعتماد سرمایه‌گذاری را نابود کند. راه درست، دستور موقت قضایی، منع انتقال دارایی، مدیریت حرفه‌ای، حسابرسی عمومی و سپس تصمیم قانونی دربارهٔ بازگرداندن اموال، ملی‌سازی، خصوصی‌سازی شفاف، تعاونی‌سازی یا مالکیت مختلط است. عدالت اجتماعی و امنیت حقوقی دشمن یکدیگر نیستند؛ هر دو برای جلوگیری از شکل‌گیری الیگارشی تازه لازم‌اند ‪(Przeworski, 1991)‬.</w:t>
      </w:r>
    </w:p>
    <w:p>
      <w:pPr>
        <w:spacing w:before="0" w:after="100" w:line="331" w:lineRule="auto"/>
        <w:ind w:firstLine="369"/>
        <w:jc w:val="both"/>
        <w:keepNext w:val="0"/>
        <w:keepLines w:val="0"/>
        <w:widowControl/>
        <w:bidi w:val="1"/>
      </w:pPr>
      <w:r>
        <w:rPr>
          <w:rFonts w:ascii="Noto Naskh Arabic" w:hAnsi="Noto Naskh Arabic" w:eastAsia="Noto Naskh Arabic" w:cs="Noto Naskh Arabic"/>
          <w:b w:val="0"/>
          <w:i w:val="0"/>
          <w:sz w:val="25"/>
          <w:rtl w:val="1"/>
        </w:rPr>
        <w:t>سوسیالیست‌ها باید بتوانند جامعه را برای برنامهٔ خود قانع کنند و پادشاهی‌خواهان یا لیبرال‌ها نیز باید حق دفاع از بازار رقابتی و مالکیت خصوصی را داشته باشند. میثاق حداقلی فقط خطوط قرمز را تعیین می‌کند: فساد، انحصار رانتی، کار اجباری، سرکوب اتحادیه، مصادرهٔ خودسرانه و فقرزدایی نمایشی. انتخاب مدل اقتصادی پایدار باید محصول انتخابات و سیاست‌گذاری پاسخ‌گو باشد، نه فرمان ستاد انقلاب.</w:t>
      </w:r>
    </w:p>
    <w:p>
      <w:pPr>
        <w:spacing w:before="240" w:after="100" w:line="276" w:lineRule="auto"/>
        <w:ind w:firstLine="0"/>
        <w:jc w:val="right"/>
        <w:pStyle w:val="Heading1"/>
        <w:keepNext/>
        <w:keepLines/>
        <w:widowControl/>
        <w:bidi w:val="1"/>
      </w:pPr>
      <w:r>
        <w:rPr>
          <w:rFonts w:ascii="Noto Sans Arabic" w:hAnsi="Noto Sans Arabic" w:eastAsia="Noto Sans Arabic" w:cs="Noto Sans Arabic"/>
          <w:b/>
          <w:i w:val="0"/>
          <w:color w:val="20384F"/>
          <w:sz w:val="32"/>
          <w:rtl w:val="1"/>
        </w:rPr>
        <w:t>۱۱. بیرون‌آوردن حرف‌های ناگفته از فضای قطبی</w:t>
      </w:r>
    </w:p>
    <w:p>
      <w:pPr>
        <w:spacing w:before="0" w:after="100" w:line="331" w:lineRule="auto"/>
        <w:ind w:firstLine="369"/>
        <w:jc w:val="both"/>
        <w:keepNext w:val="0"/>
        <w:keepLines w:val="0"/>
        <w:widowControl/>
        <w:bidi w:val="1"/>
      </w:pPr>
      <w:r>
        <w:rPr>
          <w:rFonts w:ascii="Noto Naskh Arabic" w:hAnsi="Noto Naskh Arabic" w:eastAsia="Noto Naskh Arabic" w:cs="Noto Naskh Arabic"/>
          <w:b w:val="0"/>
          <w:i w:val="0"/>
          <w:sz w:val="25"/>
          <w:rtl w:val="1"/>
        </w:rPr>
        <w:t>بخشی از گفت‌وگوی ضروری ایران امروز گفته نمی‌شود، زیرا هر اردوگاه می‌ترسد اعتراف به خطا به سلاح رقیب تبدیل شود. برخی چهره‌های جمهوری‌خواه و چپ می‌توانند دربارهٔ ارزیابی‌های تاکتیکی سال ۱۳۵۷، کم‌برآوردکردن اسلام‌گرایی، توجیه خشونت یا نادیده‌گرفتن حقوق پادشاهی‌خواهان توضیح دهند. برخی چهره‌های پادشاهی‌خواه نیز می‌توانند دربارهٔ محدودیت تحزب، سانسور، ساواک، توسعهٔ نابرابر یا زبان تحقیرآمیز امروز پاسخ‌گو باشند. این توضیح‌ها برای بلوغ سیاسی ارزشمندند، اما «توبه‌نامهٔ اجباری» نباید شرط شهروندی یا ورود به ائتلاف شود.</w:t>
      </w:r>
    </w:p>
    <w:p>
      <w:pPr>
        <w:spacing w:before="0" w:after="100" w:line="331" w:lineRule="auto"/>
        <w:ind w:firstLine="369"/>
        <w:jc w:val="both"/>
        <w:keepNext w:val="0"/>
        <w:keepLines w:val="0"/>
        <w:widowControl/>
        <w:bidi w:val="1"/>
      </w:pPr>
      <w:r>
        <w:rPr>
          <w:rFonts w:ascii="Noto Naskh Arabic" w:hAnsi="Noto Naskh Arabic" w:eastAsia="Noto Naskh Arabic" w:cs="Noto Naskh Arabic"/>
          <w:b w:val="0"/>
          <w:i w:val="0"/>
          <w:sz w:val="25"/>
          <w:rtl w:val="1"/>
        </w:rPr>
        <w:t>پیشنهاد عملی، ایجاد مجمع‌های گفت‌وگوی تاریخی با حضور پژوهشگران، قربانیان، فعالان و نمایندگان جریان‌هاست. قواعد این مجمع‌ها باید روشن باشد: استناد به سند، فرصت پاسخ، منع تهدید، تمایز میان فرد و گروه، و انتشار کامل بحث‌ها. هدف صدور حکم نهایی دربارهٔ تاریخ نیست؛ هدف آن است که اختلاف از شبکه‌های توهین و شعار به فضای استدلال منتقل شود.</w:t>
      </w:r>
    </w:p>
    <w:p>
      <w:pPr>
        <w:spacing w:before="0" w:after="100" w:line="331" w:lineRule="auto"/>
        <w:ind w:firstLine="369"/>
        <w:jc w:val="both"/>
        <w:keepNext w:val="0"/>
        <w:keepLines w:val="0"/>
        <w:widowControl/>
        <w:bidi w:val="1"/>
      </w:pPr>
      <w:r>
        <w:rPr>
          <w:rFonts w:ascii="Noto Naskh Arabic" w:hAnsi="Noto Naskh Arabic" w:eastAsia="Noto Naskh Arabic" w:cs="Noto Naskh Arabic"/>
          <w:b w:val="0"/>
          <w:i w:val="0"/>
          <w:sz w:val="25"/>
          <w:rtl w:val="1"/>
        </w:rPr>
        <w:t>آیین‌نامهٔ رفتار ائتلاف نیز اهمیت دارد. واژه‌هایی مانند «خائن»، «تجزیه‌طلب»، «فاشیست»، «کمونیست جنایتکار» یا «سلطنت‌طلب مزدور» نباید بدون دلیل مشخص به ابزار حذف تبدیل شوند. نقد تند کاملاً مجاز است، اما تهدید، افشای اطلاعات شخصی، تشویق خشونت و حملهٔ سازمان‌یافته به مخالف باید پیامد تشکیلاتی داشته باشد. رهبران مسئول فقط خشونت هواداران رقیب را محکوم نمی‌کنند؛ خشونت هواداران خود را نیز بی‌ابهام مهار می‌کنند.</w:t>
      </w:r>
    </w:p>
    <w:p>
      <w:pPr>
        <w:spacing w:before="0" w:after="100" w:line="331" w:lineRule="auto"/>
        <w:ind w:firstLine="369"/>
        <w:jc w:val="both"/>
        <w:keepNext w:val="0"/>
        <w:keepLines w:val="0"/>
        <w:widowControl/>
        <w:bidi w:val="1"/>
      </w:pPr>
      <w:r>
        <w:rPr>
          <w:rFonts w:ascii="Noto Naskh Arabic" w:hAnsi="Noto Naskh Arabic" w:eastAsia="Noto Naskh Arabic" w:cs="Noto Naskh Arabic"/>
          <w:b w:val="0"/>
          <w:i w:val="0"/>
          <w:sz w:val="25"/>
          <w:rtl w:val="1"/>
        </w:rPr>
        <w:t>جنبش باید شکاف میان داخل و خارج کشور را نیز جدی بگیرد. ایرانیان خارج از کشور منابع، رسانه و دسترسی بین‌المللی دارند، اما هزینهٔ مستقیم سرکوب را مردم داخل می‌پردازند. هیچ‌یک نباید دیگری را بی‌اعتبار سازد. سازوکار نمایندگی باید به شبکه‌های واقعی داخل، زنان، کارگران، دانشجویان، متخصصان، مناطق و خانواده‌های قربانیان وزن معنادار بدهد، نه آنکه بلندترین صدای شبکه‌های اجتماعی را معادل ملت فرض کند.</w:t>
      </w:r>
    </w:p>
    <w:p>
      <w:pPr>
        <w:spacing w:before="240" w:after="100" w:line="276" w:lineRule="auto"/>
        <w:ind w:firstLine="0"/>
        <w:jc w:val="right"/>
        <w:pStyle w:val="Heading1"/>
        <w:keepNext/>
        <w:keepLines/>
        <w:widowControl/>
        <w:bidi w:val="1"/>
      </w:pPr>
      <w:r>
        <w:rPr>
          <w:rFonts w:ascii="Noto Sans Arabic" w:hAnsi="Noto Sans Arabic" w:eastAsia="Noto Sans Arabic" w:cs="Noto Sans Arabic"/>
          <w:b/>
          <w:i w:val="0"/>
          <w:color w:val="20384F"/>
          <w:sz w:val="32"/>
          <w:rtl w:val="1"/>
        </w:rPr>
        <w:t>۱۲. خطرهای اصلی ائتلاف و راه مهار آنها</w:t>
      </w:r>
    </w:p>
    <w:p>
      <w:pPr>
        <w:spacing w:before="0" w:after="100" w:line="331" w:lineRule="auto"/>
        <w:ind w:firstLine="369"/>
        <w:jc w:val="both"/>
        <w:keepNext w:val="0"/>
        <w:keepLines w:val="0"/>
        <w:widowControl/>
        <w:bidi w:val="1"/>
      </w:pPr>
      <w:r>
        <w:rPr>
          <w:rFonts w:ascii="Noto Naskh Arabic" w:hAnsi="Noto Naskh Arabic" w:eastAsia="Noto Naskh Arabic" w:cs="Noto Naskh Arabic"/>
          <w:b w:val="0"/>
          <w:i w:val="0"/>
          <w:sz w:val="25"/>
          <w:rtl w:val="1"/>
        </w:rPr>
        <w:t>نخستین خطر، تبدیل سرمایهٔ نمادین به کیش شخصیت است. آمادگی ۴۳ درصدی بخشی از پاسخ‌گویان پیمایش گَمان برای پذیرش رهبر قدرتمند فردی نشان می‌دهد که میل به نظم می‌تواند بر محدودیت قدرت غلبه کند ‪(Maleki, 2025)‬. پاسخ، تخریب رهبر نیست؛ ساختن نهادی است که حتی محبوب‌ترین رهبر را محدود کند.</w:t>
      </w:r>
    </w:p>
    <w:p>
      <w:pPr>
        <w:spacing w:before="0" w:after="100" w:line="331" w:lineRule="auto"/>
        <w:ind w:firstLine="369"/>
        <w:jc w:val="both"/>
        <w:keepNext w:val="0"/>
        <w:keepLines w:val="0"/>
        <w:widowControl/>
        <w:bidi w:val="1"/>
      </w:pPr>
      <w:r>
        <w:rPr>
          <w:rFonts w:ascii="Noto Naskh Arabic" w:hAnsi="Noto Naskh Arabic" w:eastAsia="Noto Naskh Arabic" w:cs="Noto Naskh Arabic"/>
          <w:b w:val="0"/>
          <w:i w:val="0"/>
          <w:sz w:val="25"/>
          <w:rtl w:val="1"/>
        </w:rPr>
        <w:t>دومین خطر، انتقام تاریخی است. شعارهای مرگ‌خواهانه و درخواست محاکمهٔ جمعیِ «نسل ۵۷» نه‌تنها اخلاقاً و حقوقاً نادرست‌اند، بلکه بخش بزرگی از جامعه را به ترس و مقاومت سوق می‌دهند. همان منطق دربارهٔ مجازات جمعی کارکنان دولت، نظامیان یا خانواده‌های مسئولان نیز صادق است. عدالت هدفمند، قدرت ائتلاف را افزایش می‌دهد؛ انتقام کور، جنگ داخلی می‌سازد.</w:t>
      </w:r>
    </w:p>
    <w:p>
      <w:pPr>
        <w:spacing w:before="0" w:after="100" w:line="331" w:lineRule="auto"/>
        <w:ind w:firstLine="369"/>
        <w:jc w:val="both"/>
        <w:keepNext w:val="0"/>
        <w:keepLines w:val="0"/>
        <w:widowControl/>
        <w:bidi w:val="1"/>
      </w:pPr>
      <w:r>
        <w:rPr>
          <w:rFonts w:ascii="Noto Naskh Arabic" w:hAnsi="Noto Naskh Arabic" w:eastAsia="Noto Naskh Arabic" w:cs="Noto Naskh Arabic"/>
          <w:b w:val="0"/>
          <w:i w:val="0"/>
          <w:sz w:val="25"/>
          <w:rtl w:val="1"/>
        </w:rPr>
        <w:t>سومین خطر، وحدت نمایشی است: عکس مشترک رهبران بدون شبکهٔ داخل، برنامهٔ امنیتی، بودجهٔ شفاف، تیم حقوقی و سازوکار حل اختلاف. ائتلاف باید بتواند اختلاف را مدیریت کند، نه اینکه تا نخستین بحران آن را پنهان سازد. تجربهٔ مقایسه‌ای نشان می‌دهد پیروزی علیه اقتدارگرایی فقط آغاز کار است و ائتلاف بدون قواعد پس از پیروزی می‌تواند خیلی زود فروبپاشد ‪(Wahman, 2013)‬.</w:t>
      </w:r>
    </w:p>
    <w:p>
      <w:pPr>
        <w:spacing w:before="0" w:after="100" w:line="331" w:lineRule="auto"/>
        <w:ind w:firstLine="369"/>
        <w:jc w:val="both"/>
        <w:keepNext w:val="0"/>
        <w:keepLines w:val="0"/>
        <w:widowControl/>
        <w:bidi w:val="1"/>
      </w:pPr>
      <w:r>
        <w:rPr>
          <w:rFonts w:ascii="Noto Naskh Arabic" w:hAnsi="Noto Naskh Arabic" w:eastAsia="Noto Naskh Arabic" w:cs="Noto Naskh Arabic"/>
          <w:b w:val="0"/>
          <w:i w:val="0"/>
          <w:sz w:val="25"/>
          <w:rtl w:val="1"/>
        </w:rPr>
        <w:t>چهارمین خطر، وابستگی به جنگ و دولت‌های خارجی است. حمایت دیپلماتیک، فشار حقوق بشری و کمک فنی می‌توانند مفید باشند، اما مشروعیت گذار باید ایرانی و مردمی باشد. هرچه یک جریان آیندهٔ خود را به بمباران، محاصره یا تصمیم پایتخت‌های خارجی گره بزند، توان آن برای ساختن آشتی ملی و حاکمیت مستقل کاهش می‌یابد. مخالفت با جمهوری اسلامی نباید به بی‌تفاوتی نسبت به جان شهروندان و زیرساخت ایران تبدیل شود.</w:t>
      </w:r>
    </w:p>
    <w:p>
      <w:pPr>
        <w:spacing w:before="0" w:after="100" w:line="331" w:lineRule="auto"/>
        <w:ind w:firstLine="369"/>
        <w:jc w:val="both"/>
        <w:keepNext w:val="0"/>
        <w:keepLines w:val="0"/>
        <w:widowControl/>
        <w:bidi w:val="1"/>
      </w:pPr>
      <w:r>
        <w:rPr>
          <w:rFonts w:ascii="Noto Naskh Arabic" w:hAnsi="Noto Naskh Arabic" w:eastAsia="Noto Naskh Arabic" w:cs="Noto Naskh Arabic"/>
          <w:b w:val="0"/>
          <w:i w:val="0"/>
          <w:sz w:val="25"/>
          <w:rtl w:val="1"/>
        </w:rPr>
        <w:t>پنجمین خطر، تعیین پیشاپیش قانون اساسی است. نام «شیر و خورشید»، محبوبیت رضا پهلوی یا خاطرهٔ مشروطه نمی‌تواند جای رأی مردم را بگیرد؛ همان‌گونه که واژهٔ «جمهوری» یا «انقلاب کارگری» نیز مجوز حذف گزینه‌های دیگر نیست. هر ائتلافی که نتیجه را قبل از انتخابات قطعی کند، در واقع اعتماد طرف مقابل را می‌طلبد بی‌آنکه خود ضمانتی بدهد.</w:t>
      </w:r>
    </w:p>
    <w:p>
      <w:pPr>
        <w:spacing w:before="0" w:after="100" w:line="331" w:lineRule="auto"/>
        <w:ind w:firstLine="369"/>
        <w:jc w:val="both"/>
        <w:keepNext w:val="0"/>
        <w:keepLines w:val="0"/>
        <w:widowControl/>
        <w:bidi w:val="1"/>
      </w:pPr>
      <w:r>
        <w:rPr>
          <w:rFonts w:ascii="Noto Naskh Arabic" w:hAnsi="Noto Naskh Arabic" w:eastAsia="Noto Naskh Arabic" w:cs="Noto Naskh Arabic"/>
          <w:b w:val="0"/>
          <w:i w:val="0"/>
          <w:sz w:val="25"/>
          <w:rtl w:val="1"/>
        </w:rPr>
        <w:t>ششمین خطر، نادیده‌گرفتن گروه‌هایی است که در سه‌گانهٔ پادشاهی‌خواه–جمهوری‌خواه–چپ به‌طور کامل دیده نمی‌شوند: جنبش زنان، فعالان قومی و زبانی، اقلیت‌های دینی، دگرباشان، محیط‌زیستی‌ها، لیبرال‌ها، محافظه‌کاران سکولار، متخصصان و بخش‌هایی از جامعه که هنوز مرددند. ائتلاف ملی باید از ساختن یک اکثریت مصنوعی علیه اقلیت‌ها پرهیز کند و حقوق آنان را حتی پیش از وزن انتخاباتی‌شان تضمین نماید.</w:t>
      </w:r>
    </w:p>
    <w:p>
      <w:pPr>
        <w:spacing w:before="240" w:after="100" w:line="276" w:lineRule="auto"/>
        <w:ind w:firstLine="0"/>
        <w:jc w:val="right"/>
        <w:pStyle w:val="Heading1"/>
        <w:keepNext/>
        <w:keepLines/>
        <w:widowControl/>
        <w:bidi w:val="1"/>
      </w:pPr>
      <w:r>
        <w:rPr>
          <w:rFonts w:ascii="Noto Sans Arabic" w:hAnsi="Noto Sans Arabic" w:eastAsia="Noto Sans Arabic" w:cs="Noto Sans Arabic"/>
          <w:b/>
          <w:i w:val="0"/>
          <w:color w:val="20384F"/>
          <w:sz w:val="32"/>
          <w:rtl w:val="1"/>
        </w:rPr>
        <w:t>۱۳. نقشهٔ راه پیشنهادی از ائتلاف تا حکومت منتخب</w:t>
      </w:r>
    </w:p>
    <w:p>
      <w:pPr>
        <w:spacing w:before="0" w:after="100" w:line="331" w:lineRule="auto"/>
        <w:ind w:firstLine="369"/>
        <w:jc w:val="both"/>
        <w:keepNext w:val="0"/>
        <w:keepLines w:val="0"/>
        <w:widowControl/>
        <w:bidi w:val="1"/>
      </w:pPr>
      <w:r>
        <w:rPr>
          <w:rFonts w:ascii="Noto Naskh Arabic" w:hAnsi="Noto Naskh Arabic" w:eastAsia="Noto Naskh Arabic" w:cs="Noto Naskh Arabic"/>
          <w:b w:val="0"/>
          <w:i w:val="0"/>
          <w:sz w:val="25"/>
          <w:rtl w:val="1"/>
        </w:rPr>
        <w:t>زمان‌بندی دقیق گذار قابل پیش‌بینی نیست، اما فقدان توالی نهادی خطرناک است. نقشهٔ زیر نه تقویم قطعی، بلکه ترتیب منطقی اقدام‌ها را نشان می‌دهد:</w:t>
      </w:r>
    </w:p>
    <w:tbl>
      <w:tblPr>
        <w:tblW w:type="auto" w:w="0"/>
        <w:jc w:val="center"/>
        <w:tblLayout w:type="fixed"/>
        <w:tblLook w:firstColumn="1" w:firstRow="1" w:lastColumn="0" w:lastRow="0" w:noHBand="0" w:noVBand="1" w:val="04A0"/>
        <w:bidiVisual/>
      </w:tblPr>
      <w:tblGrid>
        <w:gridCol w:w="3175"/>
        <w:gridCol w:w="3175"/>
        <w:gridCol w:w="3175"/>
      </w:tblGrid>
      <w:tr>
        <w:trPr>
          <w:tblHeader w:val="true"/>
        </w:trPr>
        <w:tc>
          <w:tcPr>
            <w:tcW w:type="dxa" w:w="1701"/>
            <w:shd w:fill="20384F"/>
            <w:vAlign w:val="center"/>
            <w:tcMar>
              <w:top w:w="120" w:type="dxa"/>
              <w:start w:w="120" w:type="dxa"/>
              <w:bottom w:w="120" w:type="dxa"/>
              <w:end w:w="120" w:type="dxa"/>
            </w:tcMar>
          </w:tcPr>
          <w:p>
            <w:pPr>
              <w:spacing w:before="0" w:after="0" w:line="276" w:lineRule="auto"/>
              <w:ind w:firstLine="0"/>
              <w:jc w:val="center"/>
              <w:keepNext w:val="0"/>
              <w:keepLines w:val="0"/>
              <w:widowControl/>
              <w:bidi w:val="1"/>
            </w:pPr>
            <w:r>
              <w:rPr>
                <w:rFonts w:ascii="Noto Sans Arabic" w:hAnsi="Noto Sans Arabic" w:eastAsia="Noto Sans Arabic" w:cs="Noto Sans Arabic"/>
                <w:b/>
                <w:i w:val="0"/>
                <w:color w:val="FFFFFF"/>
                <w:sz w:val="21"/>
                <w:rtl w:val="1"/>
              </w:rPr>
              <w:t>مرحله</w:t>
            </w:r>
          </w:p>
        </w:tc>
        <w:tc>
          <w:tcPr>
            <w:tcW w:type="dxa" w:w="3969"/>
            <w:shd w:fill="20384F"/>
            <w:vAlign w:val="center"/>
            <w:tcMar>
              <w:top w:w="120" w:type="dxa"/>
              <w:start w:w="120" w:type="dxa"/>
              <w:bottom w:w="120" w:type="dxa"/>
              <w:end w:w="120" w:type="dxa"/>
            </w:tcMar>
          </w:tcPr>
          <w:p>
            <w:pPr>
              <w:spacing w:before="0" w:after="0" w:line="276" w:lineRule="auto"/>
              <w:ind w:firstLine="0"/>
              <w:jc w:val="center"/>
              <w:keepNext w:val="0"/>
              <w:keepLines w:val="0"/>
              <w:widowControl/>
              <w:bidi w:val="1"/>
            </w:pPr>
            <w:r>
              <w:rPr>
                <w:rFonts w:ascii="Noto Sans Arabic" w:hAnsi="Noto Sans Arabic" w:eastAsia="Noto Sans Arabic" w:cs="Noto Sans Arabic"/>
                <w:b/>
                <w:i w:val="0"/>
                <w:color w:val="FFFFFF"/>
                <w:sz w:val="21"/>
                <w:rtl w:val="1"/>
              </w:rPr>
              <w:t>اقدام‌های اصلی</w:t>
            </w:r>
          </w:p>
        </w:tc>
        <w:tc>
          <w:tcPr>
            <w:tcW w:type="dxa" w:w="3402"/>
            <w:shd w:fill="20384F"/>
            <w:vAlign w:val="center"/>
            <w:tcMar>
              <w:top w:w="120" w:type="dxa"/>
              <w:start w:w="120" w:type="dxa"/>
              <w:bottom w:w="120" w:type="dxa"/>
              <w:end w:w="120" w:type="dxa"/>
            </w:tcMar>
          </w:tcPr>
          <w:p>
            <w:pPr>
              <w:spacing w:before="0" w:after="0" w:line="276" w:lineRule="auto"/>
              <w:ind w:firstLine="0"/>
              <w:jc w:val="center"/>
              <w:keepNext w:val="0"/>
              <w:keepLines w:val="0"/>
              <w:widowControl/>
              <w:bidi w:val="1"/>
            </w:pPr>
            <w:r>
              <w:rPr>
                <w:rFonts w:ascii="Noto Sans Arabic" w:hAnsi="Noto Sans Arabic" w:eastAsia="Noto Sans Arabic" w:cs="Noto Sans Arabic"/>
                <w:b/>
                <w:i w:val="0"/>
                <w:color w:val="FFFFFF"/>
                <w:sz w:val="21"/>
                <w:rtl w:val="1"/>
              </w:rPr>
              <w:t>ضمانت ضدانحصار</w:t>
            </w:r>
          </w:p>
        </w:tc>
      </w:tr>
      <w:tr>
        <w:tc>
          <w:tcPr>
            <w:tcW w:type="dxa" w:w="1701"/>
            <w:shd w:fill="FFFFFF"/>
            <w:vAlign w:val="center"/>
            <w:tcMar>
              <w:top w:w="120" w:type="dxa"/>
              <w:start w:w="120" w:type="dxa"/>
              <w:bottom w:w="120" w:type="dxa"/>
              <w:end w:w="120" w:type="dxa"/>
            </w:tcMar>
          </w:tcPr>
          <w:p>
            <w:pPr>
              <w:spacing w:before="0" w:after="0" w:line="276" w:lineRule="auto"/>
              <w:ind w:firstLine="0"/>
              <w:jc w:val="center"/>
              <w:keepNext w:val="0"/>
              <w:keepLines w:val="0"/>
              <w:widowControl/>
              <w:bidi w:val="1"/>
            </w:pPr>
            <w:r>
              <w:rPr>
                <w:rFonts w:ascii="Noto Naskh Arabic" w:hAnsi="Noto Naskh Arabic" w:eastAsia="Noto Naskh Arabic" w:cs="Noto Naskh Arabic"/>
                <w:b w:val="0"/>
                <w:i w:val="0"/>
                <w:sz w:val="20"/>
                <w:rtl w:val="1"/>
              </w:rPr>
              <w:t>پیش از گذار</w:t>
            </w:r>
          </w:p>
        </w:tc>
        <w:tc>
          <w:tcPr>
            <w:tcW w:type="dxa" w:w="3969"/>
            <w:shd w:fill="FFFFFF"/>
            <w:vAlign w:val="center"/>
            <w:tcMar>
              <w:top w:w="120" w:type="dxa"/>
              <w:start w:w="120" w:type="dxa"/>
              <w:bottom w:w="120" w:type="dxa"/>
              <w:end w:w="120" w:type="dxa"/>
            </w:tcMar>
          </w:tcPr>
          <w:p>
            <w:pPr>
              <w:spacing w:before="0" w:after="0" w:line="276" w:lineRule="auto"/>
              <w:ind w:firstLine="0"/>
              <w:jc w:val="right"/>
              <w:keepNext w:val="0"/>
              <w:keepLines w:val="0"/>
              <w:widowControl/>
              <w:bidi w:val="1"/>
            </w:pPr>
            <w:r>
              <w:rPr>
                <w:rFonts w:ascii="Noto Naskh Arabic" w:hAnsi="Noto Naskh Arabic" w:eastAsia="Noto Naskh Arabic" w:cs="Noto Naskh Arabic"/>
                <w:b w:val="0"/>
                <w:i w:val="0"/>
                <w:sz w:val="20"/>
                <w:rtl w:val="1"/>
              </w:rPr>
              <w:t>امضای میثاق حداقلی، آیین‌نامهٔ رفتار، شبکه‌سازی داخل کشور، تیم‌های تخصصی و برنامهٔ تداوم خدمات</w:t>
            </w:r>
          </w:p>
        </w:tc>
        <w:tc>
          <w:tcPr>
            <w:tcW w:type="dxa" w:w="3402"/>
            <w:shd w:fill="FFFFFF"/>
            <w:vAlign w:val="center"/>
            <w:tcMar>
              <w:top w:w="120" w:type="dxa"/>
              <w:start w:w="120" w:type="dxa"/>
              <w:bottom w:w="120" w:type="dxa"/>
              <w:end w:w="120" w:type="dxa"/>
            </w:tcMar>
          </w:tcPr>
          <w:p>
            <w:pPr>
              <w:spacing w:before="0" w:after="0" w:line="276" w:lineRule="auto"/>
              <w:ind w:firstLine="0"/>
              <w:jc w:val="right"/>
              <w:keepNext w:val="0"/>
              <w:keepLines w:val="0"/>
              <w:widowControl/>
              <w:bidi w:val="1"/>
            </w:pPr>
            <w:r>
              <w:rPr>
                <w:rFonts w:ascii="Noto Naskh Arabic" w:hAnsi="Noto Naskh Arabic" w:eastAsia="Noto Naskh Arabic" w:cs="Noto Naskh Arabic"/>
                <w:b w:val="0"/>
                <w:i w:val="0"/>
                <w:sz w:val="20"/>
                <w:rtl w:val="1"/>
              </w:rPr>
              <w:t>انتشار عمومی تعهدات، حسابرسی منابع و منع استفادهٔ انحصاری از نام و نمادهای ملی</w:t>
            </w:r>
          </w:p>
        </w:tc>
      </w:tr>
      <w:tr>
        <w:tc>
          <w:tcPr>
            <w:tcW w:type="dxa" w:w="1701"/>
            <w:shd w:fill="F3F4F6"/>
            <w:vAlign w:val="center"/>
            <w:tcMar>
              <w:top w:w="120" w:type="dxa"/>
              <w:start w:w="120" w:type="dxa"/>
              <w:bottom w:w="120" w:type="dxa"/>
              <w:end w:w="120" w:type="dxa"/>
            </w:tcMar>
          </w:tcPr>
          <w:p>
            <w:pPr>
              <w:spacing w:before="0" w:after="0" w:line="276" w:lineRule="auto"/>
              <w:ind w:firstLine="0"/>
              <w:jc w:val="center"/>
              <w:keepNext w:val="0"/>
              <w:keepLines w:val="0"/>
              <w:widowControl/>
              <w:bidi w:val="1"/>
            </w:pPr>
            <w:r>
              <w:rPr>
                <w:rFonts w:ascii="Noto Naskh Arabic" w:hAnsi="Noto Naskh Arabic" w:eastAsia="Noto Naskh Arabic" w:cs="Noto Naskh Arabic"/>
                <w:b w:val="0"/>
                <w:i w:val="0"/>
                <w:sz w:val="20"/>
                <w:rtl w:val="1"/>
              </w:rPr>
              <w:t>روزهای نخست</w:t>
            </w:r>
          </w:p>
        </w:tc>
        <w:tc>
          <w:tcPr>
            <w:tcW w:type="dxa" w:w="3969"/>
            <w:shd w:fill="F3F4F6"/>
            <w:vAlign w:val="center"/>
            <w:tcMar>
              <w:top w:w="120" w:type="dxa"/>
              <w:start w:w="120" w:type="dxa"/>
              <w:bottom w:w="120" w:type="dxa"/>
              <w:end w:w="120" w:type="dxa"/>
            </w:tcMar>
          </w:tcPr>
          <w:p>
            <w:pPr>
              <w:spacing w:before="0" w:after="0" w:line="276" w:lineRule="auto"/>
              <w:ind w:firstLine="0"/>
              <w:jc w:val="right"/>
              <w:keepNext w:val="0"/>
              <w:keepLines w:val="0"/>
              <w:widowControl/>
              <w:bidi w:val="1"/>
            </w:pPr>
            <w:r>
              <w:rPr>
                <w:rFonts w:ascii="Noto Naskh Arabic" w:hAnsi="Noto Naskh Arabic" w:eastAsia="Noto Naskh Arabic" w:cs="Noto Naskh Arabic"/>
                <w:b w:val="0"/>
                <w:i w:val="0"/>
                <w:sz w:val="20"/>
                <w:rtl w:val="1"/>
              </w:rPr>
              <w:t>حفظ خدمات حیاتی، توقف سرکوب، آزادی زندانیان سیاسی، حفاظت از اسناد، امنیت شهروندان و رسانه‌های آزاد</w:t>
            </w:r>
          </w:p>
        </w:tc>
        <w:tc>
          <w:tcPr>
            <w:tcW w:type="dxa" w:w="3402"/>
            <w:shd w:fill="F3F4F6"/>
            <w:vAlign w:val="center"/>
            <w:tcMar>
              <w:top w:w="120" w:type="dxa"/>
              <w:start w:w="120" w:type="dxa"/>
              <w:bottom w:w="120" w:type="dxa"/>
              <w:end w:w="120" w:type="dxa"/>
            </w:tcMar>
          </w:tcPr>
          <w:p>
            <w:pPr>
              <w:spacing w:before="0" w:after="0" w:line="276" w:lineRule="auto"/>
              <w:ind w:firstLine="0"/>
              <w:jc w:val="right"/>
              <w:keepNext w:val="0"/>
              <w:keepLines w:val="0"/>
              <w:widowControl/>
              <w:bidi w:val="1"/>
            </w:pPr>
            <w:r>
              <w:rPr>
                <w:rFonts w:ascii="Noto Naskh Arabic" w:hAnsi="Noto Naskh Arabic" w:eastAsia="Noto Naskh Arabic" w:cs="Noto Naskh Arabic"/>
                <w:b w:val="0"/>
                <w:i w:val="0"/>
                <w:sz w:val="20"/>
                <w:rtl w:val="1"/>
              </w:rPr>
              <w:t>مدیریت جمعی، ثبت عمومی تصمیم‌ها، نظارت قضایی و ممنوعیت انتقام و بازداشت خودسرانه</w:t>
            </w:r>
          </w:p>
        </w:tc>
      </w:tr>
      <w:tr>
        <w:tc>
          <w:tcPr>
            <w:tcW w:type="dxa" w:w="1701"/>
            <w:shd w:fill="FFFFFF"/>
            <w:vAlign w:val="center"/>
            <w:tcMar>
              <w:top w:w="120" w:type="dxa"/>
              <w:start w:w="120" w:type="dxa"/>
              <w:bottom w:w="120" w:type="dxa"/>
              <w:end w:w="120" w:type="dxa"/>
            </w:tcMar>
          </w:tcPr>
          <w:p>
            <w:pPr>
              <w:spacing w:before="0" w:after="0" w:line="276" w:lineRule="auto"/>
              <w:ind w:firstLine="0"/>
              <w:jc w:val="center"/>
              <w:keepNext w:val="0"/>
              <w:keepLines w:val="0"/>
              <w:widowControl/>
              <w:bidi w:val="1"/>
            </w:pPr>
            <w:r>
              <w:rPr>
                <w:rFonts w:ascii="Noto Naskh Arabic" w:hAnsi="Noto Naskh Arabic" w:eastAsia="Noto Naskh Arabic" w:cs="Noto Naskh Arabic"/>
                <w:b w:val="0"/>
                <w:i w:val="0"/>
                <w:sz w:val="20"/>
                <w:rtl w:val="1"/>
              </w:rPr>
              <w:t>دورهٔ تثبیت</w:t>
            </w:r>
          </w:p>
        </w:tc>
        <w:tc>
          <w:tcPr>
            <w:tcW w:type="dxa" w:w="3969"/>
            <w:shd w:fill="FFFFFF"/>
            <w:vAlign w:val="center"/>
            <w:tcMar>
              <w:top w:w="120" w:type="dxa"/>
              <w:start w:w="120" w:type="dxa"/>
              <w:bottom w:w="120" w:type="dxa"/>
              <w:end w:w="120" w:type="dxa"/>
            </w:tcMar>
          </w:tcPr>
          <w:p>
            <w:pPr>
              <w:spacing w:before="0" w:after="0" w:line="276" w:lineRule="auto"/>
              <w:ind w:firstLine="0"/>
              <w:jc w:val="right"/>
              <w:keepNext w:val="0"/>
              <w:keepLines w:val="0"/>
              <w:widowControl/>
              <w:bidi w:val="1"/>
            </w:pPr>
            <w:r>
              <w:rPr>
                <w:rFonts w:ascii="Noto Naskh Arabic" w:hAnsi="Noto Naskh Arabic" w:eastAsia="Noto Naskh Arabic" w:cs="Noto Naskh Arabic"/>
                <w:b w:val="0"/>
                <w:i w:val="0"/>
                <w:sz w:val="20"/>
                <w:rtl w:val="1"/>
              </w:rPr>
              <w:t>کمیسیون مستقل انتخابات، ثبت آزاد احزاب و اتحادیه‌ها، بازسازی نهاد قضایی و آغاز عدالت انتقالی</w:t>
            </w:r>
          </w:p>
        </w:tc>
        <w:tc>
          <w:tcPr>
            <w:tcW w:type="dxa" w:w="3402"/>
            <w:shd w:fill="FFFFFF"/>
            <w:vAlign w:val="center"/>
            <w:tcMar>
              <w:top w:w="120" w:type="dxa"/>
              <w:start w:w="120" w:type="dxa"/>
              <w:bottom w:w="120" w:type="dxa"/>
              <w:end w:w="120" w:type="dxa"/>
            </w:tcMar>
          </w:tcPr>
          <w:p>
            <w:pPr>
              <w:spacing w:before="0" w:after="0" w:line="276" w:lineRule="auto"/>
              <w:ind w:firstLine="0"/>
              <w:jc w:val="right"/>
              <w:keepNext w:val="0"/>
              <w:keepLines w:val="0"/>
              <w:widowControl/>
              <w:bidi w:val="1"/>
            </w:pPr>
            <w:r>
              <w:rPr>
                <w:rFonts w:ascii="Noto Naskh Arabic" w:hAnsi="Noto Naskh Arabic" w:eastAsia="Noto Naskh Arabic" w:cs="Noto Naskh Arabic"/>
                <w:b w:val="0"/>
                <w:i w:val="0"/>
                <w:sz w:val="20"/>
                <w:rtl w:val="1"/>
              </w:rPr>
              <w:t>توزیع برابر امکانات سیاسی، دسترسی رسانه‌ای و قواعد روشن تعارض منافع</w:t>
            </w:r>
          </w:p>
        </w:tc>
      </w:tr>
      <w:tr>
        <w:tc>
          <w:tcPr>
            <w:tcW w:type="dxa" w:w="1701"/>
            <w:shd w:fill="F3F4F6"/>
            <w:vAlign w:val="center"/>
            <w:tcMar>
              <w:top w:w="120" w:type="dxa"/>
              <w:start w:w="120" w:type="dxa"/>
              <w:bottom w:w="120" w:type="dxa"/>
              <w:end w:w="120" w:type="dxa"/>
            </w:tcMar>
          </w:tcPr>
          <w:p>
            <w:pPr>
              <w:spacing w:before="0" w:after="0" w:line="276" w:lineRule="auto"/>
              <w:ind w:firstLine="0"/>
              <w:jc w:val="center"/>
              <w:keepNext w:val="0"/>
              <w:keepLines w:val="0"/>
              <w:widowControl/>
              <w:bidi w:val="1"/>
            </w:pPr>
            <w:r>
              <w:rPr>
                <w:rFonts w:ascii="Noto Naskh Arabic" w:hAnsi="Noto Naskh Arabic" w:eastAsia="Noto Naskh Arabic" w:cs="Noto Naskh Arabic"/>
                <w:b w:val="0"/>
                <w:i w:val="0"/>
                <w:sz w:val="20"/>
                <w:rtl w:val="1"/>
              </w:rPr>
              <w:t>مرحلهٔ مؤسسان</w:t>
            </w:r>
          </w:p>
        </w:tc>
        <w:tc>
          <w:tcPr>
            <w:tcW w:type="dxa" w:w="3969"/>
            <w:shd w:fill="F3F4F6"/>
            <w:vAlign w:val="center"/>
            <w:tcMar>
              <w:top w:w="120" w:type="dxa"/>
              <w:start w:w="120" w:type="dxa"/>
              <w:bottom w:w="120" w:type="dxa"/>
              <w:end w:w="120" w:type="dxa"/>
            </w:tcMar>
          </w:tcPr>
          <w:p>
            <w:pPr>
              <w:spacing w:before="0" w:after="0" w:line="276" w:lineRule="auto"/>
              <w:ind w:firstLine="0"/>
              <w:jc w:val="right"/>
              <w:keepNext w:val="0"/>
              <w:keepLines w:val="0"/>
              <w:widowControl/>
              <w:bidi w:val="1"/>
            </w:pPr>
            <w:r>
              <w:rPr>
                <w:rFonts w:ascii="Noto Naskh Arabic" w:hAnsi="Noto Naskh Arabic" w:eastAsia="Noto Naskh Arabic" w:cs="Noto Naskh Arabic"/>
                <w:b w:val="0"/>
                <w:i w:val="0"/>
                <w:sz w:val="20"/>
                <w:rtl w:val="1"/>
              </w:rPr>
              <w:t>انتخاب مجلس مؤسسان با نمایندگی تناسبی، تدوین گزینه‌های قانون اساسی و گفت‌وگوی سراسری</w:t>
            </w:r>
          </w:p>
        </w:tc>
        <w:tc>
          <w:tcPr>
            <w:tcW w:type="dxa" w:w="3402"/>
            <w:shd w:fill="F3F4F6"/>
            <w:vAlign w:val="center"/>
            <w:tcMar>
              <w:top w:w="120" w:type="dxa"/>
              <w:start w:w="120" w:type="dxa"/>
              <w:bottom w:w="120" w:type="dxa"/>
              <w:end w:w="120" w:type="dxa"/>
            </w:tcMar>
          </w:tcPr>
          <w:p>
            <w:pPr>
              <w:spacing w:before="0" w:after="0" w:line="276" w:lineRule="auto"/>
              <w:ind w:firstLine="0"/>
              <w:jc w:val="right"/>
              <w:keepNext w:val="0"/>
              <w:keepLines w:val="0"/>
              <w:widowControl/>
              <w:bidi w:val="1"/>
            </w:pPr>
            <w:r>
              <w:rPr>
                <w:rFonts w:ascii="Noto Naskh Arabic" w:hAnsi="Noto Naskh Arabic" w:eastAsia="Noto Naskh Arabic" w:cs="Noto Naskh Arabic"/>
                <w:b w:val="0"/>
                <w:i w:val="0"/>
                <w:sz w:val="20"/>
                <w:rtl w:val="1"/>
              </w:rPr>
              <w:t>عدم پیش‌داوری دربارهٔ سلطنت یا جمهوری؛ رأی‌گیری شفاف و نظارت مستقل</w:t>
            </w:r>
          </w:p>
        </w:tc>
      </w:tr>
    </w:tbl>
    <w:p>
      <w:pPr>
        <w:widowControl/>
        <w:spacing w:after="0"/>
      </w:pPr>
    </w:p>
    <w:p>
      <w:pPr>
        <w:spacing w:before="0" w:after="100" w:line="331" w:lineRule="auto"/>
        <w:ind w:firstLine="369"/>
        <w:jc w:val="both"/>
        <w:keepNext w:val="0"/>
        <w:keepLines w:val="0"/>
        <w:widowControl/>
        <w:bidi w:val="1"/>
      </w:pPr>
      <w:r>
        <w:rPr>
          <w:rFonts w:ascii="Noto Naskh Arabic" w:hAnsi="Noto Naskh Arabic" w:eastAsia="Noto Naskh Arabic" w:cs="Noto Naskh Arabic"/>
          <w:b w:val="0"/>
          <w:i w:val="0"/>
          <w:sz w:val="25"/>
          <w:rtl w:val="1"/>
        </w:rPr>
        <w:t>پس از تصویب قانون اساسی و برگزاری نخستین انتخابات آزاد، نهادهای انتقالی باید منحل شوند و همهٔ مقام‌های گذار—از جمله رضا پهلوی یا هر هماهنگ‌کنندهٔ دیگری—فقط در صورتی بتوانند مسئولیت تازه بگیرند که از مسیر قواعد عمومی و برابر انتخاب شوند. هیچ خدمت در دورهٔ گذار نباید امتیاز مادام‌العمر، مصونیت یا حق ارث سیاسی ایجاد کند. این اصل، هم از جمهوری‌خواهان حفاظت می‌کند و هم اعتبار یک پادشاهی مشروطهٔ احتمالی را، اگر مردم آن را برگزینند، افزایش می‌دهد.</w:t>
      </w:r>
    </w:p>
    <w:p>
      <w:pPr>
        <w:spacing w:before="240" w:after="100" w:line="276" w:lineRule="auto"/>
        <w:ind w:firstLine="0"/>
        <w:jc w:val="right"/>
        <w:pStyle w:val="Heading1"/>
        <w:keepNext/>
        <w:keepLines/>
        <w:widowControl/>
        <w:bidi w:val="1"/>
      </w:pPr>
      <w:r>
        <w:rPr>
          <w:rFonts w:ascii="Noto Sans Arabic" w:hAnsi="Noto Sans Arabic" w:eastAsia="Noto Sans Arabic" w:cs="Noto Sans Arabic"/>
          <w:b/>
          <w:i w:val="0"/>
          <w:color w:val="20384F"/>
          <w:sz w:val="32"/>
          <w:rtl w:val="1"/>
        </w:rPr>
        <w:t>۱۴. بحث: اتحاد چگونه آرمان‌ها را حفظ می‌کند؟</w:t>
      </w:r>
    </w:p>
    <w:p>
      <w:pPr>
        <w:spacing w:before="0" w:after="100" w:line="331" w:lineRule="auto"/>
        <w:ind w:firstLine="369"/>
        <w:jc w:val="both"/>
        <w:keepNext w:val="0"/>
        <w:keepLines w:val="0"/>
        <w:widowControl/>
        <w:bidi w:val="1"/>
      </w:pPr>
      <w:r>
        <w:rPr>
          <w:rFonts w:ascii="Noto Naskh Arabic" w:hAnsi="Noto Naskh Arabic" w:eastAsia="Noto Naskh Arabic" w:cs="Noto Naskh Arabic"/>
          <w:b w:val="0"/>
          <w:i w:val="0"/>
          <w:sz w:val="25"/>
          <w:rtl w:val="1"/>
        </w:rPr>
        <w:t>گاهی تصور می‌شود ائتلاف گسترده فقط با مبهم‌کردن اختلاف‌ها ممکن است. برعکس، اتحاد پایدار زمانی شکل می‌گیرد که اختلاف‌ها به رسمیت شناخته و برای آنها قواعد تعیین شود. سوسیالیست لازم نیست از آرزوی جامعه‌ای برابرتر دست بکشد؛ باید بپذیرد که راه آن از رضایت مردم، آزادی اتحادیه و رقابت حزبی می‌گذرد. جمهوری‌خواه لازم نیست نسبت به تمرکز قدرت بی‌حساس شود؛ باید بپذیرد که می‌تواند برای یک مأموریت محدود با رضا پهلوی همکاری کند و هم‌زمان نهادهای محدودکنندهٔ او را بسازد. پادشاهی‌خواه لازم نیست خاطرهٔ ۱۳۵۷ یا آرمان سلطنت مشروطه را کنار بگذارد؛ باید بپذیرد که امنیت پایدار او در گرو آزادی رقیب است.</w:t>
      </w:r>
    </w:p>
    <w:p>
      <w:pPr>
        <w:spacing w:before="0" w:after="100" w:line="331" w:lineRule="auto"/>
        <w:ind w:firstLine="369"/>
        <w:jc w:val="both"/>
        <w:keepNext w:val="0"/>
        <w:keepLines w:val="0"/>
        <w:widowControl/>
        <w:bidi w:val="1"/>
      </w:pPr>
      <w:r>
        <w:rPr>
          <w:rFonts w:ascii="Noto Naskh Arabic" w:hAnsi="Noto Naskh Arabic" w:eastAsia="Noto Naskh Arabic" w:cs="Noto Naskh Arabic"/>
          <w:b w:val="0"/>
          <w:i w:val="0"/>
          <w:sz w:val="25"/>
          <w:rtl w:val="1"/>
        </w:rPr>
        <w:t>در این معنا، حفظ پرنسیپ‌ها با انعطاف تاکتیکی تعارض ندارد. پرنسیپِ سوسیالیست، عدالت و آزادی سازمان‌یابی است، نه انحصار قدرت. پرنسیپِ جمهوری‌خواه، حاکمیت مردم و محدودیت قدرت است، نه حذف نام پهلوی. پرنسیپِ پادشاهی‌خواه مشروطه‌طلب، پیوستگی تاریخی و پادشاهی محدود به قانون است، نه اطاعت بی‌چون‌وچرا از فرد. هر جریان وقتی آرمان خود را به حق انحصار تبدیل کند، از پرنسیپ به تعصب عبور کرده است.</w:t>
      </w:r>
    </w:p>
    <w:p>
      <w:pPr>
        <w:spacing w:before="0" w:after="100" w:line="331" w:lineRule="auto"/>
        <w:ind w:firstLine="369"/>
        <w:jc w:val="both"/>
        <w:keepNext w:val="0"/>
        <w:keepLines w:val="0"/>
        <w:widowControl/>
        <w:bidi w:val="1"/>
      </w:pPr>
      <w:r>
        <w:rPr>
          <w:rFonts w:ascii="Noto Naskh Arabic" w:hAnsi="Noto Naskh Arabic" w:eastAsia="Noto Naskh Arabic" w:cs="Noto Naskh Arabic"/>
          <w:b w:val="0"/>
          <w:i w:val="0"/>
          <w:sz w:val="25"/>
          <w:rtl w:val="1"/>
        </w:rPr>
        <w:t>جنبش شیر و خورشید نیز فقط هنگامی می‌تواند جنبش ملی باشد که از یک اردوگاه فراتر رود. شیر و خورشید می‌تواند برای بسیاری نماد ایران، تداوم تاریخی و مقاومت در برابر جمهوری اسلامی باشد؛ اما ارزش سیاسی آن باید در توان جمع‌کردن شهروندان متنوع آشکار شود، نه در سنجش خلوص آنان. نماد ملیِ دموکراتیک، خانه‌ای است که مخالف نیز در آن امنیت دارد.</w:t>
      </w:r>
    </w:p>
    <w:p>
      <w:pPr>
        <w:spacing w:before="240" w:after="100" w:line="276" w:lineRule="auto"/>
        <w:ind w:firstLine="0"/>
        <w:jc w:val="right"/>
        <w:pStyle w:val="Heading1"/>
        <w:keepNext/>
        <w:keepLines/>
        <w:widowControl/>
        <w:bidi w:val="1"/>
      </w:pPr>
      <w:r>
        <w:rPr>
          <w:rFonts w:ascii="Noto Sans Arabic" w:hAnsi="Noto Sans Arabic" w:eastAsia="Noto Sans Arabic" w:cs="Noto Sans Arabic"/>
          <w:b/>
          <w:i w:val="0"/>
          <w:color w:val="20384F"/>
          <w:sz w:val="32"/>
          <w:rtl w:val="1"/>
        </w:rPr>
        <w:t>۱۵. نتیجه‌گیری</w:t>
      </w:r>
    </w:p>
    <w:p>
      <w:pPr>
        <w:spacing w:before="0" w:after="100" w:line="331" w:lineRule="auto"/>
        <w:ind w:firstLine="369"/>
        <w:jc w:val="both"/>
        <w:keepNext w:val="0"/>
        <w:keepLines w:val="0"/>
        <w:widowControl/>
        <w:bidi w:val="1"/>
      </w:pPr>
      <w:r>
        <w:rPr>
          <w:rFonts w:ascii="Noto Naskh Arabic" w:hAnsi="Noto Naskh Arabic" w:eastAsia="Noto Naskh Arabic" w:cs="Noto Naskh Arabic"/>
          <w:b w:val="0"/>
          <w:i w:val="0"/>
          <w:sz w:val="25"/>
          <w:rtl w:val="1"/>
        </w:rPr>
        <w:t>ایران در نقطه‌ای قرار گرفته است که مخالفت گسترده با جمهوری اسلامی، به‌تنهایی برای ساخت آینده کافی نیست. جامعهٔ ایران از نظر شکل نظام، اقتصاد، حافظهٔ تاریخی، هویت و الگوی توزیع قدرت متکثر است. هیچ چهره یا جریان—حتی برجسته‌ترین آنان—اکثریت تمام ملت را نمایندگی نمی‌کند. این واقعیت ضعف نیست؛ مادهٔ خام دموکراسی است، به شرط آنکه به نهاد و قرارداد سیاسی تبدیل شود.</w:t>
      </w:r>
    </w:p>
    <w:p>
      <w:pPr>
        <w:spacing w:before="0" w:after="100" w:line="331" w:lineRule="auto"/>
        <w:ind w:firstLine="369"/>
        <w:jc w:val="both"/>
        <w:keepNext w:val="0"/>
        <w:keepLines w:val="0"/>
        <w:widowControl/>
        <w:bidi w:val="1"/>
      </w:pPr>
      <w:r>
        <w:rPr>
          <w:rFonts w:ascii="Noto Naskh Arabic" w:hAnsi="Noto Naskh Arabic" w:eastAsia="Noto Naskh Arabic" w:cs="Noto Naskh Arabic"/>
          <w:b w:val="0"/>
          <w:i w:val="0"/>
          <w:sz w:val="25"/>
          <w:rtl w:val="1"/>
        </w:rPr>
        <w:t>رضا پهلوی می‌تواند در این مرحله برجسته‌ترین چهرهٔ اپوزیسیون، نماد همگرایی و تسهیل‌گر گذار باشد. اما قوی‌ترین دلیل برای حمایت از او نباید ادعای حق موروثی یا بی‌خطایی سیاسی باشد؛ باید آمادگی او برای محدودکردن اختیار خود، دفاع از حقوق جمهوری‌خواهان و سوسیالیست‌ها، پذیرش مجلس مؤسسان و سپردن تصمیم نهایی به مردم باشد. هرچه نقش او بیشتر به «پل» و کمتر به «مقصد ازپیش‌تعیین‌شده» شباهت داشته باشد، ظرفیت ائتلاف افزایش می‌یابد.</w:t>
      </w:r>
    </w:p>
    <w:p>
      <w:pPr>
        <w:spacing w:before="0" w:after="100" w:line="331" w:lineRule="auto"/>
        <w:ind w:firstLine="369"/>
        <w:jc w:val="both"/>
        <w:keepNext w:val="0"/>
        <w:keepLines w:val="0"/>
        <w:widowControl/>
        <w:bidi w:val="1"/>
      </w:pPr>
      <w:r>
        <w:rPr>
          <w:rFonts w:ascii="Noto Naskh Arabic" w:hAnsi="Noto Naskh Arabic" w:eastAsia="Noto Naskh Arabic" w:cs="Noto Naskh Arabic"/>
          <w:b w:val="0"/>
          <w:i w:val="0"/>
          <w:sz w:val="25"/>
          <w:rtl w:val="1"/>
        </w:rPr>
        <w:t>برای سوسیالیست، امنیت واقعی آن است که بتواند کارگران را متشکل کند و برنامهٔ سوسیالیستی را آزادانه به رأی بگذارد. برای جمهوری‌خواه، امنیت واقعی آن است که قدرت انتقالی محدود، پاسخ‌گو و قابل عزل باشد. برای پادشاهی‌خواه، امنیت واقعی آن است که رقیبان به خشونت، تصرف مسلحانه و حذف او روی نیاورند و حق تبلیغ سلطنت مشروطه را محترم بشمارند. این تضمین‌ها امتیاز به دیگری نیستند؛ بیمهٔ آزادی خود هر جریان‌اند.</w:t>
      </w:r>
    </w:p>
    <w:p>
      <w:pPr>
        <w:spacing w:before="0" w:after="100" w:line="331" w:lineRule="auto"/>
        <w:ind w:firstLine="369"/>
        <w:jc w:val="both"/>
        <w:keepNext w:val="0"/>
        <w:keepLines w:val="0"/>
        <w:widowControl/>
        <w:bidi w:val="1"/>
      </w:pPr>
      <w:r>
        <w:rPr>
          <w:rFonts w:ascii="Noto Naskh Arabic" w:hAnsi="Noto Naskh Arabic" w:eastAsia="Noto Naskh Arabic" w:cs="Noto Naskh Arabic"/>
          <w:b w:val="0"/>
          <w:i w:val="0"/>
          <w:sz w:val="25"/>
          <w:rtl w:val="1"/>
        </w:rPr>
        <w:t>آیندهٔ ایران نه با وادارکردن همه به یک روایت از ۱۳۵۷ ساخته می‌شود و نه با سکوت دربارهٔ رنج‌های گذشته. حرف‌های ناگفته باید بیرون بیایند، خطاهای تاریخی باید توضیح داده شوند و جنایت‌ها باید با دادرسی عادلانه پیگیری شوند. اما هیچ نسل، حزب یا خانواده‌ای نباید به‌طور جمعی محکوم شود. مرز سیاست آینده باید روشن باشد: همهٔ آرمان‌های دموکراتیک آزادند؛ انحصار، خشونت و حذف آزاد نیستند.</w:t>
      </w:r>
    </w:p>
    <w:p>
      <w:pPr>
        <w:spacing w:before="80" w:after="160" w:line="331" w:lineRule="auto"/>
        <w:ind w:firstLine="369"/>
        <w:jc w:val="both"/>
        <w:keepNext w:val="0"/>
        <w:keepLines w:val="0"/>
        <w:widowControl/>
        <w:bidi w:val="1"/>
      </w:pPr>
      <w:r>
        <w:rPr>
          <w:rFonts w:ascii="Noto Sans Arabic" w:hAnsi="Noto Sans Arabic" w:eastAsia="Noto Sans Arabic" w:cs="Noto Sans Arabic"/>
          <w:b/>
          <w:i w:val="0"/>
          <w:color w:val="20384F"/>
          <w:sz w:val="25"/>
          <w:rtl w:val="1"/>
        </w:rPr>
        <w:t xml:space="preserve">جمع‌بندی نهایی این مقاله چنین است: </w:t>
      </w:r>
      <w:r>
        <w:rPr>
          <w:rFonts w:ascii="Noto Naskh Arabic" w:hAnsi="Noto Naskh Arabic" w:eastAsia="Noto Naskh Arabic" w:cs="Noto Naskh Arabic"/>
          <w:b w:val="0"/>
          <w:i w:val="0"/>
          <w:sz w:val="25"/>
          <w:rtl w:val="1"/>
        </w:rPr>
        <w:t>ائتلاف ایرانیان نباید بر سر پاسخ نهایی شکل گیرد، بلکه بر سر حق مردم برای دادن پاسخ نهایی. پادشاهی‌خواه، جمهوری‌خواه و سوسیالیست می‌توانند در کنار یکدیگر جمهوری اسلامی را پشت سر بگذارند، دولت و تمامیت ایران را حفظ کنند و سپس با امنیت برابر برای آرمان‌های متفاوت خود رقابت نمایند. هیچ‌کس مجبور نیست رؤیایش را ترک کند؛ همه موظف‌اند زور، انتقام و انحصار را ترک کنند.</w:t>
      </w:r>
    </w:p>
    <w:p>
      <w:pPr>
        <w:keepNext w:val="0"/>
        <w:keepLines w:val="0"/>
        <w:widowControl/>
        <w:pBdr>
          <w:bottom w:val="single" w:sz="7" w:space="1" w:color="A47D28"/>
        </w:pBdr>
        <w:spacing w:before="120" w:after="120" w:line="240" w:lineRule="auto"/>
        <w:ind w:firstLine="0"/>
        <w:jc w:val="center"/>
        <w:bidi w:val="1"/>
      </w:pPr>
    </w:p>
    <w:p>
      <w:pPr>
        <w:spacing w:before="240" w:after="100" w:line="276" w:lineRule="auto"/>
        <w:ind w:firstLine="0"/>
        <w:jc w:val="right"/>
        <w:pStyle w:val="Heading1"/>
        <w:keepNext/>
        <w:keepLines/>
        <w:widowControl/>
        <w:bidi w:val="1"/>
      </w:pPr>
      <w:r>
        <w:rPr>
          <w:rFonts w:ascii="Noto Sans Arabic" w:hAnsi="Noto Sans Arabic" w:eastAsia="Noto Sans Arabic" w:cs="Noto Sans Arabic"/>
          <w:b/>
          <w:i w:val="0"/>
          <w:color w:val="20384F"/>
          <w:sz w:val="32"/>
          <w:rtl w:val="1"/>
        </w:rPr>
        <w:t>بیانیهٔ نویسنده و ملاحظات روش‌شناختی</w:t>
      </w:r>
    </w:p>
    <w:p>
      <w:pPr>
        <w:spacing w:before="0" w:after="100" w:line="331" w:lineRule="auto"/>
        <w:ind w:firstLine="369"/>
        <w:jc w:val="both"/>
        <w:keepNext w:val="0"/>
        <w:keepLines w:val="0"/>
        <w:widowControl/>
        <w:bidi w:val="1"/>
      </w:pPr>
      <w:r>
        <w:rPr>
          <w:rFonts w:ascii="Noto Naskh Arabic" w:hAnsi="Noto Naskh Arabic" w:eastAsia="Noto Naskh Arabic" w:cs="Noto Naskh Arabic"/>
          <w:b w:val="0"/>
          <w:i w:val="0"/>
          <w:sz w:val="25"/>
          <w:rtl w:val="1"/>
        </w:rPr>
        <w:t>این مقاله بازتاب‌دهندهٔ تحلیل و موضع سیاسی نویسنده است و ادعای نمایندگی رسمی هیچ حزب، ائتلاف یا نهاد پزشکی و دانشگاهی را ندارد. آمار افکار عمومی، به‌ویژه در محیط‌های اقتدارگرا و جنگی، با محدودیت نمونه‌گیری، دسترسی و تغییر سریع نگرش‌ها روبه‌روست؛ بنابراین ارقام برای ترسیم روندها به کار رفته‌اند، نه برای اعطای مشروعیت انحصاری. تحولات جاری ممکن است پس از تاریخ انتشار، برخی ارزیابی‌ها را تغییر دهد.</w:t>
      </w:r>
    </w:p>
    <w:p>
      <w:pPr>
        <w:spacing w:before="40" w:after="40" w:line="300" w:lineRule="auto"/>
        <w:ind w:firstLine="0"/>
        <w:jc w:val="right"/>
        <w:keepNext w:val="0"/>
        <w:keepLines w:val="0"/>
        <w:widowControl/>
        <w:bidi w:val="1"/>
      </w:pPr>
      <w:r>
        <w:rPr>
          <w:rFonts w:ascii="Noto Sans Arabic" w:hAnsi="Noto Sans Arabic" w:eastAsia="Noto Sans Arabic" w:cs="Noto Sans Arabic"/>
          <w:b/>
          <w:i w:val="0"/>
          <w:color w:val="20384F"/>
          <w:sz w:val="23"/>
          <w:rtl w:val="1"/>
        </w:rPr>
        <w:t xml:space="preserve">تعارض منافع: </w:t>
      </w:r>
      <w:r>
        <w:rPr>
          <w:rFonts w:ascii="Noto Naskh Arabic" w:hAnsi="Noto Naskh Arabic" w:eastAsia="Noto Naskh Arabic" w:cs="Noto Naskh Arabic"/>
          <w:b w:val="0"/>
          <w:i w:val="0"/>
          <w:sz w:val="23"/>
          <w:rtl w:val="1"/>
        </w:rPr>
        <w:t>موردی اعلام نشده است.</w:t>
      </w:r>
    </w:p>
    <w:p>
      <w:pPr>
        <w:spacing w:before="0" w:after="120" w:line="300" w:lineRule="auto"/>
        <w:ind w:firstLine="0"/>
        <w:jc w:val="right"/>
        <w:keepNext w:val="0"/>
        <w:keepLines w:val="0"/>
        <w:widowControl/>
        <w:bidi w:val="1"/>
      </w:pPr>
      <w:r>
        <w:rPr>
          <w:rFonts w:ascii="Noto Sans Arabic" w:hAnsi="Noto Sans Arabic" w:eastAsia="Noto Sans Arabic" w:cs="Noto Sans Arabic"/>
          <w:b/>
          <w:i w:val="0"/>
          <w:color w:val="20384F"/>
          <w:sz w:val="23"/>
          <w:rtl w:val="1"/>
        </w:rPr>
        <w:t xml:space="preserve">حمایت مالی: </w:t>
      </w:r>
      <w:r>
        <w:rPr>
          <w:rFonts w:ascii="Noto Naskh Arabic" w:hAnsi="Noto Naskh Arabic" w:eastAsia="Noto Naskh Arabic" w:cs="Noto Naskh Arabic"/>
          <w:b w:val="0"/>
          <w:i w:val="0"/>
          <w:sz w:val="23"/>
          <w:rtl w:val="1"/>
        </w:rPr>
        <w:t>این مقاله حمایت مالی اختصاصی دریافت نکرده است.</w:t>
      </w:r>
    </w:p>
    <w:p>
      <w:pPr>
        <w:spacing w:before="240" w:after="100" w:line="276" w:lineRule="auto"/>
        <w:ind w:firstLine="0"/>
        <w:jc w:val="right"/>
        <w:pStyle w:val="Heading1"/>
        <w:keepNext/>
        <w:keepLines/>
        <w:widowControl/>
        <w:bidi w:val="1"/>
      </w:pPr>
      <w:r>
        <w:rPr>
          <w:rFonts w:ascii="Noto Sans Arabic" w:hAnsi="Noto Sans Arabic" w:eastAsia="Noto Sans Arabic" w:cs="Noto Sans Arabic"/>
          <w:b/>
          <w:i w:val="0"/>
          <w:color w:val="20384F"/>
          <w:sz w:val="32"/>
          <w:rtl w:val="1"/>
        </w:rPr>
        <w:t>منابع</w:t>
      </w:r>
    </w:p>
    <w:p>
      <w:pPr>
        <w:widowControl/>
        <w:spacing w:before="0" w:after="40" w:line="259" w:lineRule="auto"/>
        <w:ind w:left="369" w:hanging="369"/>
        <w:jc w:val="left"/>
      </w:pPr>
      <w:r>
        <w:rPr>
          <w:rFonts w:ascii="Liberation Serif" w:hAnsi="Liberation Serif" w:eastAsia="Liberation Serif" w:cs="Liberation Serif"/>
          <w:sz w:val="20"/>
        </w:rPr>
        <w:t>Abrahamian, E. (1982). Iran between two revolutions. Princeton University Press.</w:t>
      </w:r>
    </w:p>
    <w:p>
      <w:pPr>
        <w:widowControl/>
        <w:spacing w:before="0" w:after="40" w:line="259" w:lineRule="auto"/>
        <w:ind w:left="369" w:hanging="369"/>
        <w:jc w:val="left"/>
      </w:pPr>
      <w:r>
        <w:rPr>
          <w:rFonts w:ascii="Liberation Serif" w:hAnsi="Liberation Serif" w:eastAsia="Liberation Serif" w:cs="Liberation Serif"/>
          <w:sz w:val="20"/>
        </w:rPr>
        <w:t>Abrahamian, E. (2008). A history of modern Iran. Cambridge University Press.</w:t>
      </w:r>
    </w:p>
    <w:p>
      <w:pPr>
        <w:widowControl/>
        <w:spacing w:before="0" w:after="40" w:line="259" w:lineRule="auto"/>
        <w:ind w:left="369" w:hanging="369"/>
        <w:jc w:val="left"/>
      </w:pPr>
      <w:r>
        <w:rPr>
          <w:rFonts w:ascii="Liberation Serif" w:hAnsi="Liberation Serif" w:eastAsia="Liberation Serif" w:cs="Liberation Serif"/>
          <w:sz w:val="20"/>
        </w:rPr>
        <w:t>Afary, J. (1996). The Iranian Constitutional Revolution, 1906–1911: Grassroots democracy, social democracy, and the origins of feminism. Columbia University Press.</w:t>
      </w:r>
    </w:p>
    <w:p>
      <w:pPr>
        <w:widowControl/>
        <w:spacing w:before="0" w:after="40" w:line="259" w:lineRule="auto"/>
        <w:ind w:left="369" w:hanging="369"/>
        <w:jc w:val="left"/>
      </w:pPr>
      <w:r>
        <w:rPr>
          <w:rFonts w:ascii="Liberation Serif" w:hAnsi="Liberation Serif" w:eastAsia="Liberation Serif" w:cs="Liberation Serif"/>
          <w:sz w:val="20"/>
        </w:rPr>
        <w:t>Amnesty International. (2026, July 8). Iran: Lack of international justice six months after January protest massacres risks further atrocity crimes. Amnesty International.</w:t>
      </w:r>
    </w:p>
    <w:p>
      <w:pPr>
        <w:widowControl/>
        <w:spacing w:before="0" w:after="40" w:line="259" w:lineRule="auto"/>
        <w:ind w:left="369" w:hanging="369"/>
        <w:jc w:val="left"/>
      </w:pPr>
      <w:r>
        <w:rPr>
          <w:rFonts w:ascii="Liberation Serif" w:hAnsi="Liberation Serif" w:eastAsia="Liberation Serif" w:cs="Liberation Serif"/>
          <w:sz w:val="20"/>
        </w:rPr>
        <w:t>Arjomand, S. A. (1988). The turban for the crown: The Islamic Revolution in Iran. Oxford University Press.</w:t>
      </w:r>
    </w:p>
    <w:p>
      <w:pPr>
        <w:widowControl/>
        <w:spacing w:before="0" w:after="40" w:line="259" w:lineRule="auto"/>
        <w:ind w:left="369" w:hanging="369"/>
        <w:jc w:val="left"/>
      </w:pPr>
      <w:r>
        <w:rPr>
          <w:rFonts w:ascii="Liberation Serif" w:hAnsi="Liberation Serif" w:eastAsia="Liberation Serif" w:cs="Liberation Serif"/>
          <w:sz w:val="20"/>
        </w:rPr>
        <w:t>Bayat, A. (1987). Workers and revolution in Iran: A Third World experience of workers’ control. Zed Books.</w:t>
      </w:r>
    </w:p>
    <w:p>
      <w:pPr>
        <w:widowControl/>
        <w:spacing w:before="0" w:after="40" w:line="259" w:lineRule="auto"/>
        <w:ind w:left="369" w:hanging="369"/>
        <w:jc w:val="left"/>
      </w:pPr>
      <w:r>
        <w:rPr>
          <w:rFonts w:ascii="Liberation Serif" w:hAnsi="Liberation Serif" w:eastAsia="Liberation Serif" w:cs="Liberation Serif"/>
          <w:sz w:val="20"/>
        </w:rPr>
        <w:t>Bayat, A. (1997). Street politics: Poor people’s movements in Iran. Columbia University Press.</w:t>
      </w:r>
    </w:p>
    <w:p>
      <w:pPr>
        <w:widowControl/>
        <w:spacing w:before="0" w:after="40" w:line="259" w:lineRule="auto"/>
        <w:ind w:left="369" w:hanging="369"/>
        <w:jc w:val="left"/>
      </w:pPr>
      <w:r>
        <w:rPr>
          <w:rFonts w:ascii="Liberation Serif" w:hAnsi="Liberation Serif" w:eastAsia="Liberation Serif" w:cs="Liberation Serif"/>
          <w:sz w:val="20"/>
        </w:rPr>
        <w:t>Behrooz, M. (1999). Rebels with a cause: The failure of the Left in Iran. I.B. Tauris.</w:t>
      </w:r>
    </w:p>
    <w:p>
      <w:pPr>
        <w:widowControl/>
        <w:spacing w:before="0" w:after="40" w:line="259" w:lineRule="auto"/>
        <w:ind w:left="369" w:hanging="369"/>
        <w:jc w:val="left"/>
      </w:pPr>
      <w:r>
        <w:rPr>
          <w:rFonts w:ascii="Liberation Serif" w:hAnsi="Liberation Serif" w:eastAsia="Liberation Serif" w:cs="Liberation Serif"/>
          <w:sz w:val="20"/>
        </w:rPr>
        <w:t>Chenoweth, E., &amp; Stephan, M. J. (2011). Why civil resistance works: The strategic logic of nonviolent conflict. Columbia University Press.</w:t>
      </w:r>
    </w:p>
    <w:p>
      <w:pPr>
        <w:widowControl/>
        <w:spacing w:before="0" w:after="40" w:line="259" w:lineRule="auto"/>
        <w:ind w:left="369" w:hanging="369"/>
        <w:jc w:val="left"/>
      </w:pPr>
      <w:r>
        <w:rPr>
          <w:rFonts w:ascii="Liberation Serif" w:hAnsi="Liberation Serif" w:eastAsia="Liberation Serif" w:cs="Liberation Serif"/>
          <w:sz w:val="20"/>
        </w:rPr>
        <w:t>Committee on Economic, Social and Cultural Rights, &amp; Human Rights Committee. (2019). Statement on freedom of association, including the right to form and join trade unions (E/C.12/66/5–CCPR/C/127/4). United Nations.</w:t>
      </w:r>
    </w:p>
    <w:p>
      <w:pPr>
        <w:widowControl/>
        <w:spacing w:before="0" w:after="40" w:line="259" w:lineRule="auto"/>
        <w:ind w:left="369" w:hanging="369"/>
        <w:jc w:val="left"/>
      </w:pPr>
      <w:r>
        <w:rPr>
          <w:rFonts w:ascii="Liberation Serif" w:hAnsi="Liberation Serif" w:eastAsia="Liberation Serif" w:cs="Liberation Serif"/>
          <w:sz w:val="20"/>
        </w:rPr>
        <w:t>Dahlum, S. (2023). Joining forces: Social coalitions and democratic revolutions. Journal of Peace Research, 60(1), 42–57. https://doi.org/10.1177/00223433221138614</w:t>
      </w:r>
    </w:p>
    <w:p>
      <w:pPr>
        <w:widowControl/>
        <w:spacing w:before="0" w:after="40" w:line="259" w:lineRule="auto"/>
        <w:ind w:left="369" w:hanging="369"/>
        <w:jc w:val="left"/>
      </w:pPr>
      <w:r>
        <w:rPr>
          <w:rFonts w:ascii="Liberation Serif" w:hAnsi="Liberation Serif" w:eastAsia="Liberation Serif" w:cs="Liberation Serif"/>
          <w:sz w:val="20"/>
        </w:rPr>
        <w:t>Hooglund, E. (1982). Land and revolution in Iran, 1960–1980. University of Texas Press.</w:t>
      </w:r>
    </w:p>
    <w:p>
      <w:pPr>
        <w:widowControl/>
        <w:spacing w:before="0" w:after="40" w:line="259" w:lineRule="auto"/>
        <w:ind w:left="369" w:hanging="369"/>
        <w:jc w:val="left"/>
      </w:pPr>
      <w:r>
        <w:rPr>
          <w:rFonts w:ascii="Liberation Serif" w:hAnsi="Liberation Serif" w:eastAsia="Liberation Serif" w:cs="Liberation Serif"/>
          <w:sz w:val="20"/>
        </w:rPr>
        <w:t>House of Commons Library. (2026, April 24). Israel/US-Iran conflict 2026: Background and UK response (Research Briefing CBP-10521). UK Parliament.</w:t>
      </w:r>
    </w:p>
    <w:p>
      <w:pPr>
        <w:widowControl/>
        <w:spacing w:before="0" w:after="40" w:line="259" w:lineRule="auto"/>
        <w:ind w:left="369" w:hanging="369"/>
        <w:jc w:val="left"/>
      </w:pPr>
      <w:r>
        <w:rPr>
          <w:rFonts w:ascii="Liberation Serif" w:hAnsi="Liberation Serif" w:eastAsia="Liberation Serif" w:cs="Liberation Serif"/>
          <w:sz w:val="20"/>
        </w:rPr>
        <w:t>Human Rights Watch. (2026, January 16). Iran: Growing evidence of countrywide massacres. Human Rights Watch.</w:t>
      </w:r>
    </w:p>
    <w:p>
      <w:pPr>
        <w:widowControl/>
        <w:spacing w:before="0" w:after="40" w:line="259" w:lineRule="auto"/>
        <w:ind w:left="369" w:hanging="369"/>
        <w:jc w:val="left"/>
      </w:pPr>
      <w:r>
        <w:rPr>
          <w:rFonts w:ascii="Liberation Serif" w:hAnsi="Liberation Serif" w:eastAsia="Liberation Serif" w:cs="Liberation Serif"/>
          <w:sz w:val="20"/>
        </w:rPr>
        <w:t>International Labour Organization. (2025). Case No. 2508 (Islamic Republic of Iran): Interim report, Report No. 411. Committee on Freedom of Association.</w:t>
      </w:r>
    </w:p>
    <w:p>
      <w:pPr>
        <w:widowControl/>
        <w:spacing w:before="0" w:after="40" w:line="259" w:lineRule="auto"/>
        <w:ind w:left="369" w:hanging="369"/>
        <w:jc w:val="left"/>
      </w:pPr>
      <w:r>
        <w:rPr>
          <w:rFonts w:ascii="Liberation Serif" w:hAnsi="Liberation Serif" w:eastAsia="Liberation Serif" w:cs="Liberation Serif"/>
          <w:sz w:val="20"/>
        </w:rPr>
        <w:t>Katouzian, H. (1981). The political economy of modern Iran, 1926–1979. New York University Press.</w:t>
      </w:r>
    </w:p>
    <w:p>
      <w:pPr>
        <w:widowControl/>
        <w:spacing w:before="0" w:after="40" w:line="259" w:lineRule="auto"/>
        <w:ind w:left="369" w:hanging="369"/>
        <w:jc w:val="left"/>
      </w:pPr>
      <w:r>
        <w:rPr>
          <w:rFonts w:ascii="Liberation Serif" w:hAnsi="Liberation Serif" w:eastAsia="Liberation Serif" w:cs="Liberation Serif"/>
          <w:sz w:val="20"/>
        </w:rPr>
        <w:t>Keddie, N. R. (2006). Modern Iran: Roots and results of revolution (Updated ed.). Yale University Press.</w:t>
      </w:r>
    </w:p>
    <w:p>
      <w:pPr>
        <w:widowControl/>
        <w:spacing w:before="0" w:after="40" w:line="259" w:lineRule="auto"/>
        <w:ind w:left="369" w:hanging="369"/>
        <w:jc w:val="left"/>
      </w:pPr>
      <w:r>
        <w:rPr>
          <w:rFonts w:ascii="Liberation Serif" w:hAnsi="Liberation Serif" w:eastAsia="Liberation Serif" w:cs="Liberation Serif"/>
          <w:sz w:val="20"/>
        </w:rPr>
        <w:t>Lijphart, A. (2004). Constitutional design for divided societies. Journal of Democracy, 15(2), 96–109. https://doi.org/10.1353/jod.2004.0029</w:t>
      </w:r>
    </w:p>
    <w:p>
      <w:pPr>
        <w:widowControl/>
        <w:spacing w:before="0" w:after="40" w:line="259" w:lineRule="auto"/>
        <w:ind w:left="369" w:hanging="369"/>
        <w:jc w:val="left"/>
      </w:pPr>
      <w:r>
        <w:rPr>
          <w:rFonts w:ascii="Liberation Serif" w:hAnsi="Liberation Serif" w:eastAsia="Liberation Serif" w:cs="Liberation Serif"/>
          <w:sz w:val="20"/>
        </w:rPr>
        <w:t>Linz, J. J., &amp; Stepan, A. (1996). Problems of democratic transition and consolidation: Southern Europe, South America, and post-communist Europe. Johns Hopkins University Press.</w:t>
      </w:r>
    </w:p>
    <w:p>
      <w:pPr>
        <w:widowControl/>
        <w:spacing w:before="0" w:after="40" w:line="259" w:lineRule="auto"/>
        <w:ind w:left="369" w:hanging="369"/>
        <w:jc w:val="left"/>
      </w:pPr>
      <w:r>
        <w:rPr>
          <w:rFonts w:ascii="Liberation Serif" w:hAnsi="Liberation Serif" w:eastAsia="Liberation Serif" w:cs="Liberation Serif"/>
          <w:sz w:val="20"/>
        </w:rPr>
        <w:t>Maleki, A. (2025). Iranians’ political preferences in 2024: An analytical report on GAMAAN’s survey findings. GAMAAN.</w:t>
      </w:r>
    </w:p>
    <w:p>
      <w:pPr>
        <w:widowControl/>
        <w:spacing w:before="0" w:after="40" w:line="259" w:lineRule="auto"/>
        <w:ind w:left="369" w:hanging="369"/>
        <w:jc w:val="left"/>
      </w:pPr>
      <w:r>
        <w:rPr>
          <w:rFonts w:ascii="Liberation Serif" w:hAnsi="Liberation Serif" w:eastAsia="Liberation Serif" w:cs="Liberation Serif"/>
          <w:sz w:val="20"/>
        </w:rPr>
        <w:t>O’Donnell, G., &amp; Schmitter, P. C. (1986). Transitions from authoritarian rule: Tentative conclusions about uncertain democracies. Johns Hopkins University Press.</w:t>
      </w:r>
    </w:p>
    <w:p>
      <w:pPr>
        <w:widowControl/>
        <w:spacing w:before="0" w:after="40" w:line="259" w:lineRule="auto"/>
        <w:ind w:left="369" w:hanging="369"/>
        <w:jc w:val="left"/>
      </w:pPr>
      <w:r>
        <w:rPr>
          <w:rFonts w:ascii="Liberation Serif" w:hAnsi="Liberation Serif" w:eastAsia="Liberation Serif" w:cs="Liberation Serif"/>
          <w:sz w:val="20"/>
        </w:rPr>
        <w:t>Pahlavi, R. (2025, June 23). Interview with BFMTV. Official website of Reza Pahlavi.</w:t>
      </w:r>
    </w:p>
    <w:p>
      <w:pPr>
        <w:widowControl/>
        <w:spacing w:before="0" w:after="40" w:line="259" w:lineRule="auto"/>
        <w:ind w:left="369" w:hanging="369"/>
        <w:jc w:val="left"/>
      </w:pPr>
      <w:r>
        <w:rPr>
          <w:rFonts w:ascii="Liberation Serif" w:hAnsi="Liberation Serif" w:eastAsia="Liberation Serif" w:cs="Liberation Serif"/>
          <w:sz w:val="20"/>
        </w:rPr>
        <w:t>Pahlavi, R. (2026, August 5). 120th anniversary of the Constitutional Decree message. Official website of Reza Pahlavi.</w:t>
      </w:r>
    </w:p>
    <w:p>
      <w:pPr>
        <w:widowControl/>
        <w:spacing w:before="0" w:after="40" w:line="259" w:lineRule="auto"/>
        <w:ind w:left="369" w:hanging="369"/>
        <w:jc w:val="left"/>
      </w:pPr>
      <w:r>
        <w:rPr>
          <w:rFonts w:ascii="Liberation Serif" w:hAnsi="Liberation Serif" w:eastAsia="Liberation Serif" w:cs="Liberation Serif"/>
          <w:sz w:val="20"/>
        </w:rPr>
        <w:t>Parsa, M. (1989). Social origins of the Iranian Revolution. Rutgers University Press.</w:t>
      </w:r>
    </w:p>
    <w:p>
      <w:pPr>
        <w:widowControl/>
        <w:spacing w:before="0" w:after="40" w:line="259" w:lineRule="auto"/>
        <w:ind w:left="369" w:hanging="369"/>
        <w:jc w:val="left"/>
      </w:pPr>
      <w:r>
        <w:rPr>
          <w:rFonts w:ascii="Liberation Serif" w:hAnsi="Liberation Serif" w:eastAsia="Liberation Serif" w:cs="Liberation Serif"/>
          <w:sz w:val="20"/>
        </w:rPr>
        <w:t>Parsa, M. (2016). Democracy in Iran: Why it failed and how it might succeed. Harvard University Press.</w:t>
      </w:r>
    </w:p>
    <w:p>
      <w:pPr>
        <w:widowControl/>
        <w:spacing w:before="0" w:after="40" w:line="259" w:lineRule="auto"/>
        <w:ind w:left="369" w:hanging="369"/>
        <w:jc w:val="left"/>
      </w:pPr>
      <w:r>
        <w:rPr>
          <w:rFonts w:ascii="Liberation Serif" w:hAnsi="Liberation Serif" w:eastAsia="Liberation Serif" w:cs="Liberation Serif"/>
          <w:sz w:val="20"/>
        </w:rPr>
        <w:t>Przeworski, A. (1991). Democracy and the market: Political and economic reforms in Eastern Europe and Latin America. Cambridge University Press.</w:t>
      </w:r>
    </w:p>
    <w:p>
      <w:pPr>
        <w:widowControl/>
        <w:spacing w:before="0" w:after="40" w:line="259" w:lineRule="auto"/>
        <w:ind w:left="369" w:hanging="369"/>
        <w:jc w:val="left"/>
      </w:pPr>
      <w:r>
        <w:rPr>
          <w:rFonts w:ascii="Liberation Serif" w:hAnsi="Liberation Serif" w:eastAsia="Liberation Serif" w:cs="Liberation Serif"/>
          <w:sz w:val="20"/>
        </w:rPr>
        <w:t>Stecklow, S., Layne, N., &amp; Finch, G. (2026, July 28). Regime change? Inside Reza Pahlavi’s faltering bid to lead Iran. Reuters.</w:t>
      </w:r>
    </w:p>
    <w:p>
      <w:pPr>
        <w:widowControl/>
        <w:spacing w:before="0" w:after="40" w:line="259" w:lineRule="auto"/>
        <w:ind w:left="369" w:hanging="369"/>
        <w:jc w:val="left"/>
      </w:pPr>
      <w:r>
        <w:rPr>
          <w:rFonts w:ascii="Liberation Serif" w:hAnsi="Liberation Serif" w:eastAsia="Liberation Serif" w:cs="Liberation Serif"/>
          <w:sz w:val="20"/>
        </w:rPr>
        <w:t>Stewart, P., &amp; Ali, I. (2026, August 13). US says it can keep naval blockade on Iran ‘indefinitely,’ vows more economic pressure. Reuters.</w:t>
      </w:r>
    </w:p>
    <w:p>
      <w:pPr>
        <w:widowControl/>
        <w:spacing w:before="0" w:after="40" w:line="259" w:lineRule="auto"/>
        <w:ind w:left="369" w:hanging="369"/>
        <w:jc w:val="left"/>
      </w:pPr>
      <w:r>
        <w:rPr>
          <w:rFonts w:ascii="Liberation Serif" w:hAnsi="Liberation Serif" w:eastAsia="Liberation Serif" w:cs="Liberation Serif"/>
          <w:sz w:val="20"/>
        </w:rPr>
        <w:t>Teitel, R. G. (2000). Transitional justice. Oxford University Press.</w:t>
      </w:r>
    </w:p>
    <w:p>
      <w:pPr>
        <w:widowControl/>
        <w:spacing w:before="0" w:after="40" w:line="259" w:lineRule="auto"/>
        <w:ind w:left="369" w:hanging="369"/>
        <w:jc w:val="left"/>
      </w:pPr>
      <w:r>
        <w:rPr>
          <w:rFonts w:ascii="Liberation Serif" w:hAnsi="Liberation Serif" w:eastAsia="Liberation Serif" w:cs="Liberation Serif"/>
          <w:sz w:val="20"/>
        </w:rPr>
        <w:t>United Nations. (1966a). International Covenant on Civil and Political Rights. United Nations Treaty Series, 999, 171.</w:t>
      </w:r>
    </w:p>
    <w:p>
      <w:pPr>
        <w:widowControl/>
        <w:spacing w:before="0" w:after="40" w:line="259" w:lineRule="auto"/>
        <w:ind w:left="369" w:hanging="369"/>
        <w:jc w:val="left"/>
      </w:pPr>
      <w:r>
        <w:rPr>
          <w:rFonts w:ascii="Liberation Serif" w:hAnsi="Liberation Serif" w:eastAsia="Liberation Serif" w:cs="Liberation Serif"/>
          <w:sz w:val="20"/>
        </w:rPr>
        <w:t>United Nations. (1966b). International Covenant on Economic, Social and Cultural Rights. United Nations Treaty Series, 993, 3.</w:t>
      </w:r>
    </w:p>
    <w:p>
      <w:pPr>
        <w:widowControl/>
        <w:spacing w:before="0" w:after="40" w:line="259" w:lineRule="auto"/>
        <w:ind w:left="369" w:hanging="369"/>
        <w:jc w:val="left"/>
      </w:pPr>
      <w:r>
        <w:rPr>
          <w:rFonts w:ascii="Liberation Serif" w:hAnsi="Liberation Serif" w:eastAsia="Liberation Serif" w:cs="Liberation Serif"/>
          <w:sz w:val="20"/>
        </w:rPr>
        <w:t>United Nations Secretary-General. (2004). The rule of law and transitional justice in conflict and post-conflict societies (S/2004/616). United Nations.</w:t>
      </w:r>
    </w:p>
    <w:p>
      <w:pPr>
        <w:widowControl/>
        <w:spacing w:before="0" w:after="40" w:line="259" w:lineRule="auto"/>
        <w:ind w:left="369" w:hanging="369"/>
        <w:jc w:val="left"/>
      </w:pPr>
      <w:r>
        <w:rPr>
          <w:rFonts w:ascii="Liberation Serif" w:hAnsi="Liberation Serif" w:eastAsia="Liberation Serif" w:cs="Liberation Serif"/>
          <w:sz w:val="20"/>
        </w:rPr>
        <w:t>Wahman, M. (2013). Opposition coalitions and democratization by election. Government and Opposition, 48(1), 3–32. https://doi.org/10.1017/gov.2012.5</w:t>
      </w:r>
    </w:p>
    <w:sectPr w:rsidR="00FC693F" w:rsidRPr="0006063C" w:rsidSect="00034616">
      <w:headerReference w:type="default" r:id="rId9"/>
      <w:footerReference w:type="default" r:id="rId10"/>
      <w:pgSz w:w="11906" w:h="16838"/>
      <w:pgMar w:top="1134" w:right="1191" w:bottom="1020" w:left="1191" w:header="454" w:footer="425"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bidi w:val="1"/>
    </w:pPr>
    <w:r>
      <w:rPr>
        <w:rFonts w:ascii="Noto Naskh Arabic" w:hAnsi="Noto Naskh Arabic" w:eastAsia="Noto Naskh Arabic" w:cs="Noto Naskh Arabic"/>
        <w:color w:val="4A4A4A"/>
        <w:sz w:val="19"/>
        <w:rtl w:val="1"/>
      </w:rP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before="0" w:after="0" w:line="240" w:lineRule="auto"/>
      <w:ind w:firstLine="0"/>
      <w:jc w:val="right"/>
      <w:keepNext w:val="0"/>
      <w:keepLines w:val="0"/>
      <w:widowControl/>
      <w:bidi w:val="1"/>
      <w:pBdr>
        <w:bottom w:val="single" w:sz="4" w:space="2" w:color="D9E1E6"/>
      </w:pBdr>
    </w:pPr>
    <w:r>
      <w:rPr>
        <w:rFonts w:ascii="Noto Sans Arabic" w:hAnsi="Noto Sans Arabic" w:eastAsia="Noto Sans Arabic" w:cs="Noto Sans Arabic"/>
        <w:b w:val="0"/>
        <w:i w:val="0"/>
        <w:color w:val="4A4A4A"/>
        <w:sz w:val="18"/>
        <w:rtl w:val="1"/>
      </w:rPr>
      <w:t>آیندهٔ ایران و اتحاد با حفظ اصول</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331" w:lineRule="auto"/>
    </w:pPr>
    <w:rPr>
      <w:rFonts w:ascii="Noto Naskh Arabic" w:hAnsi="Noto Naskh Arabic" w:cs="Noto Naskh Arabic"/>
      <w:sz w:val="25"/>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Noto Sans Arabic" w:hAnsi="Noto Sans Arabic" w:cs="Noto Sans Arabic"/>
      <w:b/>
      <w:bCs/>
      <w:color w:val="20384F"/>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Noto Sans Arabic" w:hAnsi="Noto Sans Arabic" w:cs="Noto Sans Arabic"/>
      <w:b/>
      <w:bCs/>
      <w:color w:val="3E667C"/>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آیندهٔ ایران در بستر جنبش شیر و خورشید و انقلاب جاری</dc:title>
  <dc:subject>آرزوهای احزاب سیاسی، حفظ پرنسیپ‌ها و امکان اتحاد دموکراتیک</dc:subject>
  <dc:creator>Peyman Bakhshayesh, MD, PhD, MBA</dc:creator>
  <cp:keywords>Iran, democratic transition, Reza Pahlavi, coalition, Lion and Sun, Iran opposition</cp:keywords>
  <dc:description>مقالهٔ تحلیلی-هنجاری؛ نسخهٔ ۱۴ اوت ۲۰۲۶</dc:description>
  <cp:lastModifiedBy>Peyman Bakhshayesh, MD, PhD, MBA</cp:lastModifiedBy>
  <cp:revision>1</cp:revision>
  <dcterms:created xsi:type="dcterms:W3CDTF">2013-12-23T23:15:00Z</dcterms:created>
  <dcterms:modified xsi:type="dcterms:W3CDTF">2013-12-23T23:15:00Z</dcterms:modified>
  <cp:category/>
</cp:coreProperties>
</file>