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keepLines w:val="0"/>
        <w:spacing w:before="0" w:after="200" w:line="240" w:lineRule="auto"/>
        <w:jc w:val="center"/>
        <w:bidi w:val="1"/>
        <w:widowControl w:val="1"/>
      </w:pPr>
      <w:r>
        <w:rPr>
          <w:rFonts w:ascii="Noto Sans Arabic" w:hAnsi="Noto Sans Arabic" w:eastAsia="Noto Sans Arabic" w:cs="Noto Sans Arabic"/>
          <w:b/>
          <w:i w:val="0"/>
          <w:color w:val="2E7D32"/>
          <w:sz w:val="23"/>
          <w:rtl w:val="1"/>
        </w:rPr>
        <w:t>مقالهٔ تحلیلی ـ سناریومحور</w:t>
      </w:r>
    </w:p>
    <w:p>
      <w:pPr>
        <w:keepNext/>
        <w:keepLines w:val="0"/>
        <w:spacing w:before="0" w:after="120" w:line="240" w:lineRule="auto"/>
        <w:jc w:val="center"/>
        <w:bidi w:val="1"/>
        <w:widowControl w:val="1"/>
      </w:pPr>
      <w:r>
        <w:rPr>
          <w:rFonts w:ascii="Noto Sans Arabic" w:hAnsi="Noto Sans Arabic" w:eastAsia="Noto Sans Arabic" w:cs="Noto Sans Arabic"/>
          <w:b/>
          <w:i w:val="0"/>
          <w:color w:val="17365D"/>
          <w:sz w:val="54"/>
          <w:rtl w:val="1"/>
        </w:rPr>
        <w:t>ایران پس از طوفان</w:t>
      </w:r>
    </w:p>
    <w:p>
      <w:pPr>
        <w:keepNext/>
        <w:keepLines w:val="0"/>
        <w:spacing w:before="0" w:after="160" w:line="264" w:lineRule="auto"/>
        <w:jc w:val="center"/>
        <w:bidi w:val="1"/>
        <w:widowControl w:val="1"/>
      </w:pPr>
      <w:r>
        <w:rPr>
          <w:rFonts w:ascii="Noto Sans Arabic" w:hAnsi="Noto Sans Arabic" w:eastAsia="Noto Sans Arabic" w:cs="Noto Sans Arabic"/>
          <w:b/>
          <w:i w:val="0"/>
          <w:color w:val="B8872E"/>
          <w:sz w:val="34"/>
          <w:rtl w:val="1"/>
        </w:rPr>
        <w:t>از مهار خون‌ریزی تا رنسانس شومپتری</w:t>
      </w:r>
    </w:p>
    <w:p>
      <w:pPr>
        <w:keepNext w:val="0"/>
        <w:keepLines w:val="0"/>
        <w:spacing w:before="0" w:after="360" w:line="288" w:lineRule="auto"/>
        <w:jc w:val="center"/>
        <w:bidi w:val="1"/>
        <w:widowControl w:val="1"/>
      </w:pPr>
      <w:r>
        <w:rPr>
          <w:rFonts w:ascii="Noto Naskh Arabic" w:hAnsi="Noto Naskh Arabic" w:eastAsia="Noto Naskh Arabic" w:cs="Noto Naskh Arabic"/>
          <w:b w:val="0"/>
          <w:i w:val="0"/>
          <w:color w:val="1F2937"/>
          <w:sz w:val="26"/>
          <w:rtl w:val="1"/>
        </w:rPr>
        <w:t>سناریوی فرضیِ گذار با محوریت شاهزاده رضا پهلوی و استقرار</w:t>
        <w:br/>
        <w:t>پادشاهی پارلمانی سکولاردموکراتیک، ۲۰۲۶ تا ۲۰۵۰</w:t>
      </w:r>
    </w:p>
    <w:p>
      <w:pPr>
        <w:keepNext w:val="0"/>
        <w:keepLines w:val="0"/>
        <w:spacing w:before="0" w:after="280" w:line="240" w:lineRule="auto"/>
        <w:jc w:val="center"/>
        <w:bidi w:val="1"/>
        <w:widowControl w:val="1"/>
      </w:pPr>
      <w:r>
        <w:rPr>
          <w:rFonts w:ascii="Noto Sans Arabic" w:hAnsi="Noto Sans Arabic" w:eastAsia="Noto Sans Arabic" w:cs="Noto Sans Arabic"/>
          <w:b w:val="0"/>
          <w:i w:val="0"/>
          <w:color w:val="B8872E"/>
          <w:sz w:val="26"/>
          <w:rtl w:val="1"/>
        </w:rPr>
        <w:t>━━━━━━━━━━━━━━━━━━━━</w:t>
      </w:r>
    </w:p>
    <w:p>
      <w:pPr>
        <w:keepNext w:val="0"/>
        <w:keepLines w:val="0"/>
        <w:spacing w:before="0" w:after="40" w:line="264" w:lineRule="auto"/>
        <w:jc w:val="center"/>
        <w:bidi w:val="1"/>
        <w:widowControl w:val="1"/>
      </w:pPr>
      <w:r>
        <w:rPr>
          <w:rFonts w:ascii="Noto Sans Arabic" w:hAnsi="Noto Sans Arabic" w:eastAsia="Noto Sans Arabic" w:cs="Noto Sans Arabic"/>
          <w:b/>
          <w:i w:val="0"/>
          <w:color w:val="17365D"/>
          <w:sz w:val="31"/>
          <w:rtl w:val="1"/>
        </w:rPr>
        <w:t>پیمان بخشایش</w:t>
      </w:r>
    </w:p>
    <w:p>
      <w:pPr>
        <w:keepNext w:val="0"/>
        <w:keepLines w:val="0"/>
        <w:spacing w:before="0" w:after="80" w:line="240" w:lineRule="auto"/>
        <w:jc w:val="center"/>
        <w:bidi w:val="1"/>
        <w:widowControl w:val="1"/>
      </w:pPr>
      <w:r>
        <w:rPr>
          <w:rFonts w:ascii="Noto Naskh Arabic" w:hAnsi="Noto Naskh Arabic" w:eastAsia="Noto Naskh Arabic" w:cs="Noto Naskh Arabic"/>
          <w:b w:val="0"/>
          <w:i w:val="0"/>
          <w:color w:val="1F2937"/>
          <w:sz w:val="23"/>
          <w:rtl w:val="1"/>
        </w:rPr>
        <w:t>جراح تروما  |  MD, PhD, MBA</w:t>
      </w:r>
    </w:p>
    <w:p>
      <w:pPr>
        <w:keepNext w:val="0"/>
        <w:keepLines w:val="0"/>
        <w:spacing w:before="0" w:after="360" w:line="240" w:lineRule="auto"/>
        <w:jc w:val="center"/>
        <w:bidi w:val="1"/>
        <w:widowControl w:val="1"/>
      </w:pPr>
      <w:r>
        <w:rPr>
          <w:rFonts w:ascii="Noto Naskh Arabic" w:hAnsi="Noto Naskh Arabic" w:eastAsia="Noto Naskh Arabic" w:cs="Noto Naskh Arabic"/>
          <w:b w:val="0"/>
          <w:i w:val="0"/>
          <w:color w:val="6B7280"/>
          <w:sz w:val="21"/>
          <w:rtl w:val="1"/>
        </w:rPr>
        <w:t>اوت ۲۰۲۶</w:t>
      </w:r>
    </w:p>
    <w:tbl>
      <w:tblPr>
        <w:tblW w:type="auto" w:w="0"/>
        <w:jc w:val="center"/>
        <w:tblLayout w:type="fixed"/>
        <w:tblLook w:firstColumn="1" w:firstRow="1" w:lastColumn="0" w:lastRow="0" w:noHBand="0" w:noVBand="1" w:val="04A0"/>
      </w:tblPr>
      <w:tblGrid>
        <w:gridCol w:w="9638"/>
      </w:tblGrid>
      <w:tr>
        <w:tc>
          <w:tcPr>
            <w:tcW w:type="dxa" w:w="8957"/>
            <w:shd w:fill="FBF5E6"/>
            <w:tcMar>
              <w:top w:w="160" w:type="dxa"/>
              <w:start w:w="220" w:type="dxa"/>
              <w:bottom w:w="160" w:type="dxa"/>
              <w:end w:w="220" w:type="dxa"/>
            </w:tcMar>
            <w:tcBorders>
              <w:top w:val="single" w:sz="10" w:color="B8872E"/>
              <w:left w:val="single" w:sz="10" w:color="B8872E"/>
              <w:bottom w:val="single" w:sz="10" w:color="B8872E"/>
              <w:right w:val="single" w:sz="10" w:color="B8872E"/>
            </w:tcBorders>
          </w:tcPr>
          <w:p>
            <w:pPr>
              <w:keepNext w:val="0"/>
              <w:keepLines w:val="0"/>
              <w:spacing w:before="0" w:after="0" w:line="288" w:lineRule="auto"/>
              <w:jc w:val="center"/>
              <w:bidi w:val="1"/>
            </w:pPr>
            <w:r>
              <w:rPr>
                <w:rFonts w:ascii="Noto Naskh Arabic" w:hAnsi="Noto Naskh Arabic" w:eastAsia="Noto Naskh Arabic" w:cs="Noto Naskh Arabic"/>
                <w:b/>
                <w:i w:val="0"/>
                <w:color w:val="17365D"/>
                <w:sz w:val="22"/>
                <w:rtl w:val="1"/>
              </w:rPr>
              <w:t>این مقاله یک سناریوی مشروط و قابل بازبینی است؛ نه پیش‌گویی، نه وعدهٔ قطعی و نه ادعای سخن گفتن به نام همهٔ مردم ایران.</w:t>
            </w:r>
          </w:p>
        </w:tc>
      </w:tr>
    </w:tbl>
    <w:p>
      <w:pPr>
        <w:spacing w:after="0"/>
        <w:widowControl w:val="1"/>
      </w:pPr>
    </w:p>
    <w:p>
      <w:pPr>
        <w:sectPr>
          <w:headerReference w:type="default" r:id="rId9"/>
          <w:footerReference w:type="default" r:id="rId10"/>
          <w:headerReference w:type="first" r:id="rId11"/>
          <w:footerReference w:type="first" r:id="rId12"/>
          <w:pgSz w:w="11906" w:h="16838"/>
          <w:pgMar w:top="1247" w:right="1134" w:bottom="1134" w:left="1134" w:header="369" w:footer="369" w:gutter="0"/>
          <w:cols w:space="720"/>
          <w:titlePg/>
          <w:docGrid w:linePitch="360"/>
          <w:vAlign w:val="center"/>
        </w:sectPr>
        <w:widowControl w:val="1"/>
      </w:pPr>
    </w:p>
    <w:p>
      <w:pPr>
        <w:keepNext w:val="0"/>
        <w:keepLines w:val="0"/>
        <w:spacing w:before="0" w:after="40" w:line="240" w:lineRule="auto"/>
        <w:jc w:val="center"/>
        <w:bidi w:val="1"/>
        <w:widowControl w:val="1"/>
      </w:pPr>
      <w:r>
        <w:drawing>
          <wp:inline xmlns:a="http://schemas.openxmlformats.org/drawingml/2006/main" xmlns:pic="http://schemas.openxmlformats.org/drawingml/2006/picture">
            <wp:extent cx="9829800" cy="5532202"/>
            <wp:docPr id="1" name="Picture 1" descr="اینفوگرافیک چهار دوره تمدن و اقتصاد ایران با سناریوی فرضی آینده سکولاردموکراتیک"/>
            <wp:cNvGraphicFramePr>
              <a:graphicFrameLocks noChangeAspect="1"/>
            </wp:cNvGraphicFramePr>
            <a:graphic>
              <a:graphicData uri="http://schemas.openxmlformats.org/drawingml/2006/picture">
                <pic:pic>
                  <pic:nvPicPr>
                    <pic:cNvPr id="0" name="iranian_civilisation_four_eras_of_prosperity.png"/>
                    <pic:cNvPicPr/>
                  </pic:nvPicPr>
                  <pic:blipFill>
                    <a:blip r:embed="rId15"/>
                    <a:stretch>
                      <a:fillRect/>
                    </a:stretch>
                  </pic:blipFill>
                  <pic:spPr>
                    <a:xfrm>
                      <a:off x="0" y="0"/>
                      <a:ext cx="9829800" cy="5532202"/>
                    </a:xfrm>
                    <a:prstGeom prst="rect"/>
                  </pic:spPr>
                </pic:pic>
              </a:graphicData>
            </a:graphic>
          </wp:inline>
        </w:drawing>
      </w:r>
    </w:p>
    <w:p>
      <w:pPr>
        <w:keepNext w:val="0"/>
        <w:keepLines w:val="0"/>
        <w:spacing w:before="60" w:after="140" w:line="240" w:lineRule="auto"/>
        <w:jc w:val="center"/>
        <w:bidi w:val="1"/>
        <w:widowControl w:val="1"/>
      </w:pPr>
      <w:r>
        <w:rPr>
          <w:rFonts w:ascii="Noto Naskh Arabic" w:hAnsi="Noto Naskh Arabic" w:eastAsia="Noto Naskh Arabic" w:cs="Noto Naskh Arabic"/>
          <w:b w:val="0"/>
          <w:i/>
          <w:color w:val="6B7280"/>
          <w:sz w:val="18"/>
          <w:rtl w:val="1"/>
        </w:rPr>
        <w:t>شکل ۱. چهار دورهٔ تمدنی ـ اقتصادی ایران و ادامهٔ فرضی منحنی در یک پادشاهی پارلمانی سکولاردموکراتیک. بخش سبز ۲۰۲۶ تا ۲۰۵۰ سناریو است، نه پیش‌بینی رسمی.</w:t>
      </w:r>
    </w:p>
    <w:p>
      <w:pPr>
        <w:sectPr>
          <w:headerReference w:type="default" r:id="rId13"/>
          <w:footerReference w:type="default" r:id="rId14"/>
          <w:pgSz w:w="16838" w:h="11906" w:orient="landscape"/>
          <w:pgMar w:top="340" w:right="312" w:bottom="397" w:left="312" w:header="255" w:footer="255" w:gutter="0"/>
          <w:cols w:space="720"/>
          <w:titlePg/>
          <w:docGrid w:linePitch="360"/>
          <w:vAlign w:val="center"/>
        </w:sectPr>
        <w:widowControl w:val="1"/>
      </w:pPr>
    </w:p>
    <w:p>
      <w:pPr>
        <w:pStyle w:val="Heading1"/>
        <w:keepNext/>
        <w:keepLines w:val="0"/>
        <w:spacing w:before="200" w:after="100" w:line="252" w:lineRule="auto"/>
        <w:jc w:val="right"/>
        <w:bidi w:val="1"/>
        <w:pBdr>
          <w:bottom w:val="single" w:sz="8" w:space="5" w:color="B8872E"/>
        </w:pBdr>
        <w:widowControl w:val="1"/>
      </w:pPr>
      <w:r>
        <w:rPr>
          <w:rFonts w:ascii="Noto Sans Arabic" w:hAnsi="Noto Sans Arabic" w:eastAsia="Noto Sans Arabic" w:cs="Noto Sans Arabic"/>
          <w:b/>
          <w:i w:val="0"/>
          <w:color w:val="17365D"/>
          <w:sz w:val="32"/>
          <w:rtl w:val="1"/>
        </w:rPr>
        <w:t>چکیده</w:t>
      </w:r>
    </w:p>
    <w:p>
      <w:pPr>
        <w:keepNext w:val="0"/>
        <w:keepLines w:val="0"/>
        <w:spacing w:before="0" w:after="120" w:line="300" w:lineRule="auto"/>
        <w:jc w:val="both"/>
        <w:bidi w:val="1"/>
        <w:widowControl w:val="1"/>
      </w:pPr>
      <w:r>
        <w:rPr>
          <w:rFonts w:ascii="Noto Naskh Arabic" w:hAnsi="Noto Naskh Arabic" w:eastAsia="Noto Naskh Arabic" w:cs="Noto Naskh Arabic"/>
          <w:b w:val="0"/>
          <w:i w:val="0"/>
          <w:color w:val="1F2937"/>
          <w:sz w:val="22"/>
          <w:rtl w:val="1"/>
        </w:rPr>
        <w:t>این مقاله یک سناریوی سیاسی ـ اقتصادی را بررسی می‌کند که در آن جمهوری اسلامی پس از جنگ و بحران نهادی کنار رفته، شاهزاده رضا پهلوی در مقام هماهنگ‌کنندهٔ گذار و سپس پادشاه مشروطهٔ غیرحاکم نقش می‌پذیرد، و اکثریت نیروهای سکولاردموکرات در چارچوبی پارلمانی، قانون‌مدار و چندحزبی همکاری می‌کنند. پرسش اصلی این است که در چنین شرایطی، اقتصاد ایران چگونه می‌تواند از مرحلهٔ مهار خسارت و تثبیت دولت به مرحلهٔ بازسازی، نوآوری و رشد شومپتری وارد شود. تحلیل با تلفیق نظریهٔ «تخریب خلاق» شومپتر، چارچوب PESTEL-C، تحلیل میدان نیروهای کورت لوین، ادبیات گذار دموکراتیک و نقشهٔ تأمین مالی پسامنازعه انجام می‌شود. نتیجهٔ سناریویی آن است که ایران، در صورت حفظ ظرفیت دولت، استقلال بانک مرکزی، حاکمیت قانون، رفع تدریجی تحریم‌ها، جذب سرمایه و دانش دیاسپورا، مشارکت کامل زنان و ایجاد بازار رقابتی، می‌تواند پس از یک افت انتقالی کوتاه وارد دوره‌ای از رشد ۶ تا ۸ درصدی در مرحلهٔ جهش و سپس رشد پایدارتر ۳٫۵ تا ۵ درصدی شود. در سناریوی پایه، تولید ناخالص داخلی سرانهٔ واقعی می‌تواند تا ۲۰۵۰ به حدود ۱۵٬۲۰۰ دلار به قیمت ثابت ۲۰۱۵ برسد. این ارقام پیش‌بینی قطعی نیستند؛ خروجی فرض‌های نهادی و اقتصادی‌اند و با شکست امنیت، قانون، اعتماد یا ائتلاف سیاسی می‌توانند تحقق نیابند. [۱–۸، ۳۱–۳۵]</w:t>
      </w:r>
    </w:p>
    <w:p>
      <w:pPr>
        <w:keepNext w:val="0"/>
        <w:keepLines w:val="0"/>
        <w:spacing w:before="0" w:after="160" w:line="300" w:lineRule="auto"/>
        <w:jc w:val="right"/>
        <w:bidi w:val="1"/>
        <w:widowControl w:val="1"/>
      </w:pPr>
      <w:r>
        <w:rPr>
          <w:rFonts w:ascii="Noto Naskh Arabic" w:hAnsi="Noto Naskh Arabic" w:eastAsia="Noto Naskh Arabic" w:cs="Noto Naskh Arabic"/>
          <w:b/>
          <w:i w:val="0"/>
          <w:color w:val="1F4E79"/>
          <w:sz w:val="22"/>
          <w:rtl w:val="1"/>
        </w:rPr>
        <w:t xml:space="preserve">واژگان کلیدی: </w:t>
      </w:r>
      <w:r>
        <w:rPr>
          <w:rFonts w:ascii="Noto Naskh Arabic" w:hAnsi="Noto Naskh Arabic" w:eastAsia="Noto Naskh Arabic" w:cs="Noto Naskh Arabic"/>
          <w:b w:val="0"/>
          <w:i w:val="0"/>
          <w:color w:val="1F2937"/>
          <w:sz w:val="22"/>
          <w:rtl w:val="1"/>
        </w:rPr>
        <w:t>ایران؛ شاهزاده رضا پهلوی؛ پادشاهی مشروطه؛ سکولاردموکراسی؛ اقتصاد شومپتری؛ تخریب خلاق؛ بازسازی پساجنگ؛ PESTEL-C؛ تحلیل میدان نیروها؛ دیاسپورا؛ بانک جهانی.</w:t>
      </w:r>
    </w:p>
    <w:p>
      <w:pPr>
        <w:pStyle w:val="Heading1"/>
        <w:keepNext/>
        <w:keepLines w:val="0"/>
        <w:spacing w:before="200" w:after="100" w:line="252" w:lineRule="auto"/>
        <w:jc w:val="right"/>
        <w:bidi w:val="1"/>
        <w:pBdr>
          <w:bottom w:val="single" w:sz="8" w:space="5" w:color="B8872E"/>
        </w:pBdr>
        <w:widowControl w:val="1"/>
      </w:pPr>
      <w:r>
        <w:rPr>
          <w:rFonts w:ascii="Noto Sans Arabic" w:hAnsi="Noto Sans Arabic" w:eastAsia="Noto Sans Arabic" w:cs="Noto Sans Arabic"/>
          <w:b/>
          <w:i w:val="0"/>
          <w:color w:val="17365D"/>
          <w:sz w:val="32"/>
          <w:rtl w:val="1"/>
        </w:rPr>
        <w:t>فهرست مطالب</w:t>
      </w:r>
    </w:p>
    <w:p>
      <w:pPr>
        <w:keepNext w:val="0"/>
        <w:keepLines w:val="0"/>
        <w:spacing w:before="0" w:after="40" w:line="264" w:lineRule="auto"/>
        <w:ind w:right="283"/>
        <w:jc w:val="right"/>
        <w:bidi w:val="1"/>
        <w:widowControl w:val="1"/>
      </w:pPr>
      <w:r>
        <w:rPr>
          <w:rFonts w:ascii="Noto Naskh Arabic" w:hAnsi="Noto Naskh Arabic" w:eastAsia="Noto Naskh Arabic" w:cs="Noto Naskh Arabic"/>
          <w:b w:val="0"/>
          <w:i w:val="0"/>
          <w:color w:val="1F2937"/>
          <w:sz w:val="21"/>
          <w:rtl w:val="1"/>
        </w:rPr>
        <w:t>یادداشت روش‌شناختی: سناریو، نه پیش‌گویی</w:t>
      </w:r>
    </w:p>
    <w:p>
      <w:pPr>
        <w:keepNext w:val="0"/>
        <w:keepLines w:val="0"/>
        <w:spacing w:before="0" w:after="40" w:line="264" w:lineRule="auto"/>
        <w:ind w:right="283"/>
        <w:jc w:val="right"/>
        <w:bidi w:val="1"/>
        <w:widowControl w:val="1"/>
      </w:pPr>
      <w:r>
        <w:rPr>
          <w:rFonts w:ascii="Noto Naskh Arabic" w:hAnsi="Noto Naskh Arabic" w:eastAsia="Noto Naskh Arabic" w:cs="Noto Naskh Arabic"/>
          <w:b w:val="0"/>
          <w:i w:val="0"/>
          <w:color w:val="1F2937"/>
          <w:sz w:val="21"/>
          <w:rtl w:val="1"/>
        </w:rPr>
        <w:t>۱. ایران در اتاق تروما؛ نخست مهار خون‌ریزی، سپس بازسازی</w:t>
      </w:r>
    </w:p>
    <w:p>
      <w:pPr>
        <w:keepNext w:val="0"/>
        <w:keepLines w:val="0"/>
        <w:spacing w:before="0" w:after="40" w:line="264" w:lineRule="auto"/>
        <w:ind w:right="283"/>
        <w:jc w:val="right"/>
        <w:bidi w:val="1"/>
        <w:widowControl w:val="1"/>
      </w:pPr>
      <w:r>
        <w:rPr>
          <w:rFonts w:ascii="Noto Naskh Arabic" w:hAnsi="Noto Naskh Arabic" w:eastAsia="Noto Naskh Arabic" w:cs="Noto Naskh Arabic"/>
          <w:b w:val="0"/>
          <w:i w:val="0"/>
          <w:color w:val="1F2937"/>
          <w:sz w:val="21"/>
          <w:rtl w:val="1"/>
        </w:rPr>
        <w:t>۲. داستان فرضی: روزی که شاهزاده به ایران بازگشت</w:t>
      </w:r>
    </w:p>
    <w:p>
      <w:pPr>
        <w:keepNext w:val="0"/>
        <w:keepLines w:val="0"/>
        <w:spacing w:before="0" w:after="40" w:line="264" w:lineRule="auto"/>
        <w:ind w:right="283"/>
        <w:jc w:val="right"/>
        <w:bidi w:val="1"/>
        <w:widowControl w:val="1"/>
      </w:pPr>
      <w:r>
        <w:rPr>
          <w:rFonts w:ascii="Noto Naskh Arabic" w:hAnsi="Noto Naskh Arabic" w:eastAsia="Noto Naskh Arabic" w:cs="Noto Naskh Arabic"/>
          <w:b w:val="0"/>
          <w:i w:val="0"/>
          <w:color w:val="1F2937"/>
          <w:sz w:val="21"/>
          <w:rtl w:val="1"/>
        </w:rPr>
        <w:t>۳. نقد جمهوری اسلامی: مسئله فقط یک دولت ناکارآمد نیست</w:t>
      </w:r>
    </w:p>
    <w:p>
      <w:pPr>
        <w:keepNext w:val="0"/>
        <w:keepLines w:val="0"/>
        <w:spacing w:before="0" w:after="40" w:line="264" w:lineRule="auto"/>
        <w:ind w:right="283"/>
        <w:jc w:val="right"/>
        <w:bidi w:val="1"/>
        <w:widowControl w:val="1"/>
      </w:pPr>
      <w:r>
        <w:rPr>
          <w:rFonts w:ascii="Noto Naskh Arabic" w:hAnsi="Noto Naskh Arabic" w:eastAsia="Noto Naskh Arabic" w:cs="Noto Naskh Arabic"/>
          <w:b w:val="0"/>
          <w:i w:val="0"/>
          <w:color w:val="1F2937"/>
          <w:sz w:val="21"/>
          <w:rtl w:val="1"/>
        </w:rPr>
        <w:t>۴. اقتصاد شومپتری ایران نوین: انحصار باید بمیرد، نه انسان</w:t>
      </w:r>
    </w:p>
    <w:p>
      <w:pPr>
        <w:keepNext w:val="0"/>
        <w:keepLines w:val="0"/>
        <w:spacing w:before="0" w:after="40" w:line="264" w:lineRule="auto"/>
        <w:ind w:right="283"/>
        <w:jc w:val="right"/>
        <w:bidi w:val="1"/>
        <w:widowControl w:val="1"/>
      </w:pPr>
      <w:r>
        <w:rPr>
          <w:rFonts w:ascii="Noto Naskh Arabic" w:hAnsi="Noto Naskh Arabic" w:eastAsia="Noto Naskh Arabic" w:cs="Noto Naskh Arabic"/>
          <w:b w:val="0"/>
          <w:i w:val="0"/>
          <w:color w:val="1F2937"/>
          <w:sz w:val="21"/>
          <w:rtl w:val="1"/>
        </w:rPr>
        <w:t>۵. تحلیل PESTEL-C ایران پس از گذار</w:t>
      </w:r>
    </w:p>
    <w:p>
      <w:pPr>
        <w:keepNext w:val="0"/>
        <w:keepLines w:val="0"/>
        <w:spacing w:before="0" w:after="40" w:line="264" w:lineRule="auto"/>
        <w:ind w:right="283"/>
        <w:jc w:val="right"/>
        <w:bidi w:val="1"/>
        <w:widowControl w:val="1"/>
      </w:pPr>
      <w:r>
        <w:rPr>
          <w:rFonts w:ascii="Noto Naskh Arabic" w:hAnsi="Noto Naskh Arabic" w:eastAsia="Noto Naskh Arabic" w:cs="Noto Naskh Arabic"/>
          <w:b w:val="0"/>
          <w:i w:val="0"/>
          <w:color w:val="1F2937"/>
          <w:sz w:val="21"/>
          <w:rtl w:val="1"/>
        </w:rPr>
        <w:t>۶. تحلیل میدان نیروهای کورت لوین</w:t>
      </w:r>
    </w:p>
    <w:p>
      <w:pPr>
        <w:keepNext w:val="0"/>
        <w:keepLines w:val="0"/>
        <w:spacing w:before="0" w:after="40" w:line="264" w:lineRule="auto"/>
        <w:ind w:right="283"/>
        <w:jc w:val="right"/>
        <w:bidi w:val="1"/>
        <w:widowControl w:val="1"/>
      </w:pPr>
      <w:r>
        <w:rPr>
          <w:rFonts w:ascii="Noto Naskh Arabic" w:hAnsi="Noto Naskh Arabic" w:eastAsia="Noto Naskh Arabic" w:cs="Noto Naskh Arabic"/>
          <w:b w:val="0"/>
          <w:i w:val="0"/>
          <w:color w:val="1F2937"/>
          <w:sz w:val="21"/>
          <w:rtl w:val="1"/>
        </w:rPr>
        <w:t>۷. جایگاه آمریکا، اسرائیل و کشورهای خلیج فارس</w:t>
      </w:r>
    </w:p>
    <w:p>
      <w:pPr>
        <w:keepNext w:val="0"/>
        <w:keepLines w:val="0"/>
        <w:spacing w:before="0" w:after="40" w:line="264" w:lineRule="auto"/>
        <w:ind w:right="283"/>
        <w:jc w:val="right"/>
        <w:bidi w:val="1"/>
        <w:widowControl w:val="1"/>
      </w:pPr>
      <w:r>
        <w:rPr>
          <w:rFonts w:ascii="Noto Naskh Arabic" w:hAnsi="Noto Naskh Arabic" w:eastAsia="Noto Naskh Arabic" w:cs="Noto Naskh Arabic"/>
          <w:b w:val="0"/>
          <w:i w:val="0"/>
          <w:color w:val="1F2937"/>
          <w:sz w:val="21"/>
          <w:rtl w:val="1"/>
        </w:rPr>
        <w:t>۸. ایرانیان خارج از کشور؛ بازگشت یا شبکهٔ جهانی ایران</w:t>
      </w:r>
    </w:p>
    <w:p>
      <w:pPr>
        <w:keepNext w:val="0"/>
        <w:keepLines w:val="0"/>
        <w:spacing w:before="0" w:after="40" w:line="264" w:lineRule="auto"/>
        <w:ind w:right="283"/>
        <w:jc w:val="right"/>
        <w:bidi w:val="1"/>
        <w:widowControl w:val="1"/>
      </w:pPr>
      <w:r>
        <w:rPr>
          <w:rFonts w:ascii="Noto Naskh Arabic" w:hAnsi="Noto Naskh Arabic" w:eastAsia="Noto Naskh Arabic" w:cs="Noto Naskh Arabic"/>
          <w:b w:val="0"/>
          <w:i w:val="0"/>
          <w:color w:val="1F2937"/>
          <w:sz w:val="21"/>
          <w:rtl w:val="1"/>
        </w:rPr>
        <w:t>۹. ادامهٔ فرضی منحنی رشد اقتصادی</w:t>
      </w:r>
    </w:p>
    <w:p>
      <w:pPr>
        <w:keepNext w:val="0"/>
        <w:keepLines w:val="0"/>
        <w:spacing w:before="0" w:after="40" w:line="264" w:lineRule="auto"/>
        <w:ind w:right="283"/>
        <w:jc w:val="right"/>
        <w:bidi w:val="1"/>
        <w:widowControl w:val="1"/>
      </w:pPr>
      <w:r>
        <w:rPr>
          <w:rFonts w:ascii="Noto Naskh Arabic" w:hAnsi="Noto Naskh Arabic" w:eastAsia="Noto Naskh Arabic" w:cs="Noto Naskh Arabic"/>
          <w:b w:val="0"/>
          <w:i w:val="0"/>
          <w:color w:val="1F2937"/>
          <w:sz w:val="21"/>
          <w:rtl w:val="1"/>
        </w:rPr>
        <w:t>۱۰. بانک جهانی، وام بازسازی و اعتبار ایران نوین</w:t>
      </w:r>
    </w:p>
    <w:p>
      <w:pPr>
        <w:keepNext w:val="0"/>
        <w:keepLines w:val="0"/>
        <w:spacing w:before="0" w:after="40" w:line="264" w:lineRule="auto"/>
        <w:ind w:right="283"/>
        <w:jc w:val="right"/>
        <w:bidi w:val="1"/>
        <w:widowControl w:val="1"/>
      </w:pPr>
      <w:r>
        <w:rPr>
          <w:rFonts w:ascii="Noto Naskh Arabic" w:hAnsi="Noto Naskh Arabic" w:eastAsia="Noto Naskh Arabic" w:cs="Noto Naskh Arabic"/>
          <w:b w:val="0"/>
          <w:i w:val="0"/>
          <w:color w:val="1F2937"/>
          <w:sz w:val="21"/>
          <w:rtl w:val="1"/>
        </w:rPr>
        <w:t>۱۱. امپراتوری خوشنام؛ نه امپراتوری سرزمین</w:t>
      </w:r>
    </w:p>
    <w:p>
      <w:pPr>
        <w:keepNext w:val="0"/>
        <w:keepLines w:val="0"/>
        <w:spacing w:before="0" w:after="40" w:line="264" w:lineRule="auto"/>
        <w:ind w:right="283"/>
        <w:jc w:val="right"/>
        <w:bidi w:val="1"/>
        <w:widowControl w:val="1"/>
      </w:pPr>
      <w:r>
        <w:rPr>
          <w:rFonts w:ascii="Noto Naskh Arabic" w:hAnsi="Noto Naskh Arabic" w:eastAsia="Noto Naskh Arabic" w:cs="Noto Naskh Arabic"/>
          <w:b w:val="0"/>
          <w:i w:val="0"/>
          <w:color w:val="1F2937"/>
          <w:sz w:val="21"/>
          <w:rtl w:val="1"/>
        </w:rPr>
        <w:t>۱۲. نتیجه‌گیری: شاهزاده می‌تواند در را باز کند؛ نهادها باید آن را باز نگه دارند</w:t>
      </w:r>
    </w:p>
    <w:p>
      <w:pPr>
        <w:keepNext w:val="0"/>
        <w:keepLines w:val="0"/>
        <w:spacing w:before="0" w:after="40" w:line="264" w:lineRule="auto"/>
        <w:ind w:right="283"/>
        <w:jc w:val="right"/>
        <w:bidi w:val="1"/>
        <w:widowControl w:val="1"/>
      </w:pPr>
      <w:r>
        <w:rPr>
          <w:rFonts w:ascii="Noto Naskh Arabic" w:hAnsi="Noto Naskh Arabic" w:eastAsia="Noto Naskh Arabic" w:cs="Noto Naskh Arabic"/>
          <w:b w:val="0"/>
          <w:i w:val="0"/>
          <w:color w:val="1F2937"/>
          <w:sz w:val="21"/>
          <w:rtl w:val="1"/>
        </w:rPr>
        <w:t>منابع و مآخذ</w:t>
      </w:r>
    </w:p>
    <w:p>
      <w:pPr>
        <w:pStyle w:val="Heading1"/>
        <w:keepNext/>
        <w:keepLines w:val="0"/>
        <w:spacing w:before="200" w:after="100" w:line="252" w:lineRule="auto"/>
        <w:jc w:val="right"/>
        <w:bidi w:val="1"/>
        <w:pBdr>
          <w:bottom w:val="single" w:sz="8" w:space="5" w:color="B8872E"/>
        </w:pBdr>
        <w:widowControl w:val="1"/>
      </w:pPr>
      <w:r>
        <w:rPr>
          <w:rFonts w:ascii="Noto Sans Arabic" w:hAnsi="Noto Sans Arabic" w:eastAsia="Noto Sans Arabic" w:cs="Noto Sans Arabic"/>
          <w:b/>
          <w:i w:val="0"/>
          <w:color w:val="17365D"/>
          <w:sz w:val="32"/>
          <w:rtl w:val="1"/>
        </w:rPr>
        <w:t>یادداشت روش‌شناختی: این متن پیش‌گویی نیست؛ سناریوی مشروط است</w:t>
      </w:r>
    </w:p>
    <w:p>
      <w:pPr>
        <w:keepNext w:val="0"/>
        <w:keepLines w:val="0"/>
        <w:spacing w:before="0" w:after="120" w:line="300" w:lineRule="auto"/>
        <w:jc w:val="both"/>
        <w:bidi w:val="1"/>
        <w:widowControl w:val="1"/>
      </w:pPr>
      <w:r>
        <w:rPr>
          <w:rFonts w:ascii="Noto Naskh Arabic" w:hAnsi="Noto Naskh Arabic" w:eastAsia="Noto Naskh Arabic" w:cs="Noto Naskh Arabic"/>
          <w:b w:val="0"/>
          <w:i w:val="0"/>
          <w:color w:val="1F2937"/>
          <w:sz w:val="22"/>
          <w:rtl w:val="1"/>
        </w:rPr>
        <w:t>این نوشته نه گزارش وقوع یک انتقال قدرت است، نه ادعای سخن گفتن به نام همهٔ مردم ایران و نه تضمین یک «معجزهٔ اقتصادی». ساختار آن از نوع «اگر ـ آنگاه» است. هر نتیجهٔ اقتصادی در این مقاله به مجموعه‌ای از شروط سیاسی، امنیتی، حقوقی و اجتماعی وابسته است و با تغییر آن شروط باید بازبینی شود. این تفکیک میان واقعیت، تفسیر و سناریو در متون پیشین نویسنده نیز اصل روش‌شناختی بوده است. [۳۱–۳۴]</w:t>
      </w:r>
    </w:p>
    <w:tbl>
      <w:tblPr>
        <w:tblW w:type="auto" w:w="0"/>
        <w:jc w:val="center"/>
        <w:tblLayout w:type="fixed"/>
        <w:tblLook w:firstColumn="1" w:firstRow="1" w:lastColumn="0" w:lastRow="0" w:noHBand="0" w:noVBand="1" w:val="04A0"/>
      </w:tblPr>
      <w:tblGrid>
        <w:gridCol w:w="9922"/>
      </w:tblGrid>
      <w:tr>
        <w:tc>
          <w:tcPr>
            <w:tcW w:type="dxa" w:w="8957"/>
            <w:shd w:fill="EAF2F8"/>
            <w:tcMar>
              <w:top w:w="160" w:type="dxa"/>
              <w:start w:w="220" w:type="dxa"/>
              <w:bottom w:w="160" w:type="dxa"/>
              <w:end w:w="220" w:type="dxa"/>
            </w:tcMar>
            <w:tcBorders>
              <w:top w:val="single" w:sz="10" w:color="1F4E79"/>
              <w:left w:val="single" w:sz="10" w:color="1F4E79"/>
              <w:bottom w:val="single" w:sz="10" w:color="1F4E79"/>
              <w:right w:val="single" w:sz="10" w:color="1F4E79"/>
            </w:tcBorders>
          </w:tcPr>
          <w:p>
            <w:pPr>
              <w:keepNext w:val="0"/>
              <w:keepLines w:val="0"/>
              <w:spacing w:before="0" w:after="0" w:line="288" w:lineRule="auto"/>
              <w:jc w:val="center"/>
              <w:bidi w:val="1"/>
            </w:pPr>
            <w:r>
              <w:rPr>
                <w:rFonts w:ascii="Noto Naskh Arabic" w:hAnsi="Noto Naskh Arabic" w:eastAsia="Noto Naskh Arabic" w:cs="Noto Naskh Arabic"/>
                <w:b/>
                <w:i w:val="0"/>
                <w:color w:val="17365D"/>
                <w:sz w:val="24"/>
                <w:rtl w:val="1"/>
              </w:rPr>
              <w:t>اگر جنگ پایان یابد؛ اگر جمهوری اسلامی قدرت را از دست بدهد اما دولت ایران، خدمات عمومی و تمامیت ارضی کشور حفظ شود؛ اگر شاهزاده رضا پهلوی بتواند ائتلافی فراگیر از نیروهای سکولاردموکرات را گرد آورد؛ اگر قدرت انتقالی محدود، پاسخ‌گو و زمان‌مند باشد؛ اگر مردم در فرایندی آزاد به پادشاهی مشروطهٔ پارلمانی رأی دهند؛ و اگر حاکمیت قانون، امنیت مالکیت، رقابت اقتصادی، آموزش آزاد و رابطهٔ عادی با جهان برقرار شود؛ آنگاه ایران می‌تواند وارد یک دورهٔ بازسازی، همگرایی و رشد شومپتری شود.</w:t>
            </w:r>
          </w:p>
        </w:tc>
      </w:tr>
    </w:tbl>
    <w:p>
      <w:pPr>
        <w:spacing w:after="0"/>
        <w:widowControl w:val="1"/>
      </w:pPr>
    </w:p>
    <w:p>
      <w:pPr>
        <w:keepNext w:val="0"/>
        <w:keepLines w:val="0"/>
        <w:spacing w:before="0" w:after="120" w:line="300" w:lineRule="auto"/>
        <w:jc w:val="both"/>
        <w:bidi w:val="1"/>
        <w:widowControl w:val="1"/>
      </w:pPr>
      <w:r>
        <w:rPr>
          <w:rFonts w:ascii="Noto Naskh Arabic" w:hAnsi="Noto Naskh Arabic" w:eastAsia="Noto Naskh Arabic" w:cs="Noto Naskh Arabic"/>
          <w:b w:val="0"/>
          <w:i w:val="0"/>
          <w:color w:val="1F2937"/>
          <w:sz w:val="22"/>
          <w:rtl w:val="1"/>
        </w:rPr>
        <w:t>این احتیاط از نظر اخلاقی نیز ضروری است. نباید گفت «جنگ خوب است»، «سقوط خودبه‌خود دموکراسی می‌آورد» یا «یک شخص پیش از انتخابات وکالت انحصاری همهٔ ملت را دارد». حفاظت از غیرنظامیان، حفظ ظرفیت‌های عمومی دولت، عاملیت ایرانیان، اقتدار موقت محدود، انتخابات آزاد و عدالت انتقالی شروط دفاع‌پذیری هر سناریوی گذارند. پژوهش‌های تطبیقی نیز نشان می‌دهند که فروپاشی اقتدارگرایی می‌تواند به دموکراسی، اقتدارگرایی تازه، کودتا، جنگ داخلی یا دولت ضعیف بینجامد؛ نتیجه تابع نهادها و ترتیب زمانی رخدادهاست. [۴–۸، ۳۱، ۳۳]</w:t>
      </w:r>
    </w:p>
    <w:p>
      <w:pPr>
        <w:keepNext w:val="0"/>
        <w:keepLines w:val="0"/>
        <w:spacing w:before="0" w:after="120" w:line="300" w:lineRule="auto"/>
        <w:jc w:val="both"/>
        <w:bidi w:val="1"/>
        <w:widowControl w:val="1"/>
      </w:pPr>
      <w:r>
        <w:rPr>
          <w:rFonts w:ascii="Noto Naskh Arabic" w:hAnsi="Noto Naskh Arabic" w:eastAsia="Noto Naskh Arabic" w:cs="Noto Naskh Arabic"/>
          <w:b w:val="0"/>
          <w:i w:val="0"/>
          <w:color w:val="1F2937"/>
          <w:sz w:val="22"/>
          <w:rtl w:val="1"/>
        </w:rPr>
        <w:t>در نسخهٔ زمانی این مقاله، جنگ و بحران سال ۲۰۲۶ هنوز فضای تصمیم‌گیری را شکل می‌دهند. بر پایهٔ داده‌های مورد استفاده در سناریوی مبنا، اقتصاد ایران در سال ۲۰۲۶ با رشد واقعی منفی و تورمی بسیار بالا روبه‌رو است. این نقطهٔ آغاز تیره به معنای ناممکن بودن بازسازی نیست، اما نشان می‌دهد منحنی آینده نباید از روز نخست به‌صورت یک خط عمودی صعودی ترسیم شود. ابتدا باید خون‌ریزی اقتصادی مهار، خدمات عمومی حفظ و اعتماد نهادی بازسازی شود. [۹، ۱۲، ۲۰، ۲۱]</w:t>
      </w:r>
    </w:p>
    <w:p>
      <w:pPr>
        <w:keepNext w:val="0"/>
        <w:keepLines w:val="0"/>
        <w:spacing w:before="0" w:after="120" w:line="300" w:lineRule="auto"/>
        <w:jc w:val="both"/>
        <w:bidi w:val="1"/>
        <w:widowControl w:val="1"/>
      </w:pPr>
      <w:r>
        <w:rPr>
          <w:rFonts w:ascii="Noto Naskh Arabic" w:hAnsi="Noto Naskh Arabic" w:eastAsia="Noto Naskh Arabic" w:cs="Noto Naskh Arabic"/>
          <w:b w:val="0"/>
          <w:i w:val="0"/>
          <w:color w:val="1F2937"/>
          <w:sz w:val="22"/>
          <w:rtl w:val="1"/>
        </w:rPr>
        <w:t>در مورد جایگاه شاهزاده رضا پهلوی نیز باید میان «برجستگی» و «اکثریت قطعی» فرق گذاشت. پیمایش‌ها و گزارش‌های مستقل او را برجسته‌ترین چهرهٔ منفرد اپوزیسیون و دارای پایگاهی مهم نشان می‌دهند، اما هیچ نظرسنجی آنلاین، تجمع خارج کشور یا محبوبیت رسانه‌ای جای رأی مخفی شهروندان را نمی‌گیرد. در این سناریو، او نقطهٔ کانونی و امین موقت گذار است؛ نه مالک ایران، نه صاحب حق موروثی بر حکومت و نه جایگزین صندوق رأی. [۱۷–۱۹، ۲۶، ۳۲، ۳۳]</w:t>
      </w:r>
    </w:p>
    <w:p>
      <w:pPr>
        <w:pStyle w:val="Heading1"/>
        <w:keepNext/>
        <w:keepLines w:val="0"/>
        <w:spacing w:before="200" w:after="100" w:line="252" w:lineRule="auto"/>
        <w:jc w:val="right"/>
        <w:bidi w:val="1"/>
        <w:pBdr>
          <w:bottom w:val="single" w:sz="8" w:space="5" w:color="B8872E"/>
        </w:pBdr>
        <w:widowControl w:val="1"/>
      </w:pPr>
      <w:r>
        <w:rPr>
          <w:rFonts w:ascii="Noto Sans Arabic" w:hAnsi="Noto Sans Arabic" w:eastAsia="Noto Sans Arabic" w:cs="Noto Sans Arabic"/>
          <w:b/>
          <w:i w:val="0"/>
          <w:color w:val="17365D"/>
          <w:sz w:val="32"/>
          <w:rtl w:val="1"/>
        </w:rPr>
        <w:t>۱. ایران در اتاق تروما؛ نخست مهار خون‌ریزی، سپس بازسازی</w:t>
      </w:r>
    </w:p>
    <w:p>
      <w:pPr>
        <w:keepNext w:val="0"/>
        <w:keepLines w:val="0"/>
        <w:spacing w:before="0" w:after="120" w:line="300" w:lineRule="auto"/>
        <w:jc w:val="both"/>
        <w:bidi w:val="1"/>
        <w:widowControl w:val="1"/>
      </w:pPr>
      <w:r>
        <w:rPr>
          <w:rFonts w:ascii="Noto Naskh Arabic" w:hAnsi="Noto Naskh Arabic" w:eastAsia="Noto Naskh Arabic" w:cs="Noto Naskh Arabic"/>
          <w:b w:val="0"/>
          <w:i w:val="0"/>
          <w:color w:val="1F2937"/>
          <w:sz w:val="22"/>
          <w:rtl w:val="1"/>
        </w:rPr>
        <w:t>از نگاه یک جراح تروما، ایران امروز بیماری نیست که باید از نو خلق شود؛ کشوری زنده، ریشه‌دار و توانمند است که دچار ترومای چندگانه شده است: خون‌ریزی جنگ و سرکوب، شکستگی نهادهای سیاسی، آسیب عروقی اقتصاد و بانکداری، نارسایی تنفسی محیط زیست و آب، و فرسایش عصبی اعتماد اجتماعی.</w:t>
      </w:r>
    </w:p>
    <w:p>
      <w:pPr>
        <w:keepNext w:val="0"/>
        <w:keepLines w:val="0"/>
        <w:spacing w:before="0" w:after="120" w:line="300" w:lineRule="auto"/>
        <w:jc w:val="both"/>
        <w:bidi w:val="1"/>
        <w:widowControl w:val="1"/>
      </w:pPr>
      <w:r>
        <w:rPr>
          <w:rFonts w:ascii="Noto Naskh Arabic" w:hAnsi="Noto Naskh Arabic" w:eastAsia="Noto Naskh Arabic" w:cs="Noto Naskh Arabic"/>
          <w:b w:val="0"/>
          <w:i w:val="0"/>
          <w:color w:val="1F2937"/>
          <w:sz w:val="22"/>
          <w:rtl w:val="1"/>
        </w:rPr>
        <w:t>در تروما، جراح پیش از هر چیز خون‌ریزی را مهار می‌کند. او برای درمان یک شکستگی، قلب بیمار را از کار نمی‌اندازد. در گذار سیاسی نیز نخستین مأموریت، تخریب بیشتر نیست؛ حفاظت از جان مردم، بیمارستان‌ها، بانک مرکزی، آب، برق، مخابرات، بنادر، فرودگاه‌ها، زنجیرهٔ دارو، ثبت احوال و پرداخت حقوق است. نظام سیاسی باید دگرگون شود، اما کشور، دولت و زیرساخت عمومی نباید همراه رژیم فروبریزند. [۵، ۳۱–۳۳]</w:t>
      </w:r>
    </w:p>
    <w:tbl>
      <w:tblPr>
        <w:tblW w:type="auto" w:w="0"/>
        <w:jc w:val="center"/>
        <w:tblLayout w:type="fixed"/>
        <w:tblLook w:firstColumn="1" w:firstRow="1" w:lastColumn="0" w:lastRow="0" w:noHBand="0" w:noVBand="1" w:val="04A0"/>
      </w:tblPr>
      <w:tblGrid>
        <w:gridCol w:w="9922"/>
      </w:tblGrid>
      <w:tr>
        <w:tc>
          <w:tcPr>
            <w:tcW w:type="dxa" w:w="8957"/>
            <w:shd w:fill="FBE9EB"/>
            <w:tcMar>
              <w:top w:w="160" w:type="dxa"/>
              <w:start w:w="220" w:type="dxa"/>
              <w:bottom w:w="160" w:type="dxa"/>
              <w:end w:w="220" w:type="dxa"/>
            </w:tcMar>
            <w:tcBorders>
              <w:top w:val="single" w:sz="10" w:color="A61C2A"/>
              <w:left w:val="single" w:sz="10" w:color="A61C2A"/>
              <w:bottom w:val="single" w:sz="10" w:color="A61C2A"/>
              <w:right w:val="single" w:sz="10" w:color="A61C2A"/>
            </w:tcBorders>
          </w:tcPr>
          <w:p>
            <w:pPr>
              <w:keepNext w:val="0"/>
              <w:keepLines w:val="0"/>
              <w:spacing w:before="0" w:after="0" w:line="288" w:lineRule="auto"/>
              <w:jc w:val="center"/>
              <w:bidi w:val="1"/>
            </w:pPr>
            <w:r>
              <w:rPr>
                <w:rFonts w:ascii="Noto Naskh Arabic" w:hAnsi="Noto Naskh Arabic" w:eastAsia="Noto Naskh Arabic" w:cs="Noto Naskh Arabic"/>
                <w:b/>
                <w:i w:val="0"/>
                <w:color w:val="A61C2A"/>
                <w:sz w:val="23"/>
                <w:rtl w:val="1"/>
              </w:rPr>
              <w:t>جنگ جراحی نیست. بمباران نیز «تخریب خلاق» شومپتری نیست. تخریب خلاق به معنای کنار رفتن فناوری، انحصار، محصول یا سازمان اقتصادی کهنه در برابر نوآوری بهتر است؛ نه مرگ انسان، سوختن کارخانه یا قطع برق بیمارستان.</w:t>
            </w:r>
          </w:p>
        </w:tc>
      </w:tr>
    </w:tbl>
    <w:p>
      <w:pPr>
        <w:spacing w:after="0"/>
        <w:widowControl w:val="1"/>
      </w:pPr>
    </w:p>
    <w:p>
      <w:pPr>
        <w:keepNext w:val="0"/>
        <w:keepLines w:val="0"/>
        <w:spacing w:before="0" w:after="120" w:line="300" w:lineRule="auto"/>
        <w:jc w:val="both"/>
        <w:bidi w:val="1"/>
        <w:widowControl w:val="1"/>
      </w:pPr>
      <w:r>
        <w:rPr>
          <w:rFonts w:ascii="Noto Naskh Arabic" w:hAnsi="Noto Naskh Arabic" w:eastAsia="Noto Naskh Arabic" w:cs="Noto Naskh Arabic"/>
          <w:b w:val="0"/>
          <w:i w:val="0"/>
          <w:color w:val="1F2937"/>
          <w:sz w:val="22"/>
          <w:rtl w:val="1"/>
        </w:rPr>
        <w:t>افزایش تولید ناخالص داخلی در دورهٔ بازسازی نیز الزاماً رفاه از دست‌رفته، مرگ انسان‌ها، آسیب آموزش یا نابودی سرمایهٔ فیزیکی را جبران نمی‌کند. اصطلاح درست‌تر برای آیندهٔ مطلوب ایران «بازسازی نهادی همراه با پویایی شومپتریِ نوآوری و کارآفرینی» است. موفقیت به حفظ بانک مرکزی، ثبت مالکیت، پرداخت حقوق، آب و برق و دارو، نظام مالی شفاف، مناقصهٔ عمومی، مقابله با فساد، بازگشت تخصص دیاسپورا و جذب سرمایهٔ پایدار وابسته است. [۱، ۵، ۹، ۳۱]</w:t>
      </w:r>
    </w:p>
    <w:tbl>
      <w:tblPr>
        <w:tblW w:type="auto" w:w="0"/>
        <w:jc w:val="center"/>
        <w:tblLayout w:type="fixed"/>
        <w:tblLook w:firstColumn="1" w:firstRow="1" w:lastColumn="0" w:lastRow="0" w:noHBand="0" w:noVBand="1" w:val="04A0"/>
      </w:tblPr>
      <w:tblGrid>
        <w:gridCol w:w="9922"/>
      </w:tblGrid>
      <w:tr>
        <w:tc>
          <w:tcPr>
            <w:tcW w:type="dxa" w:w="8957"/>
            <w:shd w:fill="EAF2F8"/>
            <w:tcMar>
              <w:top w:w="160" w:type="dxa"/>
              <w:start w:w="220" w:type="dxa"/>
              <w:bottom w:w="160" w:type="dxa"/>
              <w:end w:w="220" w:type="dxa"/>
            </w:tcMar>
            <w:tcBorders>
              <w:top w:val="single" w:sz="10" w:color="1F4E79"/>
              <w:left w:val="single" w:sz="10" w:color="1F4E79"/>
              <w:bottom w:val="single" w:sz="10" w:color="1F4E79"/>
              <w:right w:val="single" w:sz="10" w:color="1F4E79"/>
            </w:tcBorders>
          </w:tcPr>
          <w:p>
            <w:pPr>
              <w:keepNext w:val="0"/>
              <w:keepLines w:val="0"/>
              <w:spacing w:before="0" w:after="0" w:line="288" w:lineRule="auto"/>
              <w:jc w:val="center"/>
              <w:bidi w:val="1"/>
            </w:pPr>
            <w:r>
              <w:rPr>
                <w:rFonts w:ascii="Noto Naskh Arabic" w:hAnsi="Noto Naskh Arabic" w:eastAsia="Noto Naskh Arabic" w:cs="Noto Naskh Arabic"/>
                <w:b/>
                <w:i w:val="0"/>
                <w:color w:val="17365D"/>
                <w:sz w:val="24"/>
                <w:rtl w:val="1"/>
              </w:rPr>
              <w:t>رژیم باید تغییر کند؛ اما کشور نباید فروبپاشد. دستگاه سرکوب باید منحل یا اصلاح شود؛ اما دولت، بیمارستان، مدرسه و ارتش ملی باید باقی بمانند.</w:t>
            </w:r>
          </w:p>
        </w:tc>
      </w:tr>
    </w:tbl>
    <w:p>
      <w:pPr>
        <w:spacing w:after="0"/>
        <w:widowControl w:val="1"/>
      </w:pPr>
    </w:p>
    <w:p>
      <w:pPr>
        <w:pStyle w:val="Heading1"/>
        <w:keepNext/>
        <w:keepLines w:val="0"/>
        <w:spacing w:before="200" w:after="100" w:line="252" w:lineRule="auto"/>
        <w:jc w:val="right"/>
        <w:bidi w:val="1"/>
        <w:pBdr>
          <w:bottom w:val="single" w:sz="8" w:space="5" w:color="B8872E"/>
        </w:pBdr>
        <w:widowControl w:val="1"/>
      </w:pPr>
      <w:r>
        <w:rPr>
          <w:rFonts w:ascii="Noto Sans Arabic" w:hAnsi="Noto Sans Arabic" w:eastAsia="Noto Sans Arabic" w:cs="Noto Sans Arabic"/>
          <w:b/>
          <w:i w:val="0"/>
          <w:color w:val="17365D"/>
          <w:sz w:val="32"/>
          <w:rtl w:val="1"/>
        </w:rPr>
        <w:t>۲. داستان فرضی: روزی که شاهزاده به ایران بازگشت</w:t>
      </w:r>
    </w:p>
    <w:p>
      <w:pPr>
        <w:keepNext w:val="0"/>
        <w:keepLines w:val="0"/>
        <w:spacing w:before="0" w:after="120" w:line="300" w:lineRule="auto"/>
        <w:jc w:val="both"/>
        <w:bidi w:val="1"/>
        <w:widowControl w:val="1"/>
      </w:pPr>
      <w:r>
        <w:rPr>
          <w:rFonts w:ascii="Noto Naskh Arabic" w:hAnsi="Noto Naskh Arabic" w:eastAsia="Noto Naskh Arabic" w:cs="Noto Naskh Arabic"/>
          <w:b w:val="0"/>
          <w:i w:val="0"/>
          <w:color w:val="1F2937"/>
          <w:sz w:val="22"/>
          <w:rtl w:val="1"/>
        </w:rPr>
        <w:t>در این روایت خیالی، جنگ سرانجام با آتش‌بسی قابل نظارت متوقف می‌شود. توان فرماندهی جمهوری اسلامی فرسوده شده، شکاف در رأس قدرت گسترش یافته و بخش‌هایی از نیروهای نظامی، انتظامی و اداری اعلام بی‌طرفی می‌کنند. جمهوری اسلامی فرو می‌ریزد، اما ایران فرو نمی‌ریزد؛ زیرا شبکهٔ خدمات عمومی، بوروکراسی حرفه‌ای و زنجیرهٔ فرماندهی ملی با برنامه‌ای از پیش تدوین‌شده حفظ شده‌اند.</w:t>
      </w:r>
    </w:p>
    <w:p>
      <w:pPr>
        <w:keepNext w:val="0"/>
        <w:keepLines w:val="0"/>
        <w:spacing w:before="0" w:after="120" w:line="300" w:lineRule="auto"/>
        <w:jc w:val="both"/>
        <w:bidi w:val="1"/>
        <w:widowControl w:val="1"/>
      </w:pPr>
      <w:r>
        <w:rPr>
          <w:rFonts w:ascii="Noto Naskh Arabic" w:hAnsi="Noto Naskh Arabic" w:eastAsia="Noto Naskh Arabic" w:cs="Noto Naskh Arabic"/>
          <w:b w:val="0"/>
          <w:i w:val="0"/>
          <w:color w:val="1F2937"/>
          <w:sz w:val="22"/>
          <w:rtl w:val="1"/>
        </w:rPr>
        <w:t>شاهزاده رضا پهلوی به تهران بازمی‌گردد؛ نه با عنوان فرمانروای فاتح، بلکه به‌عنوان امین موقت حاکمیت ملی و هماهنگ‌کنندهٔ گذار. او نخستین سخن خود را نه با ادعای وراثت قدرت، بلکه با تعهد به واگذاری قدرت آغاز می‌کند:</w:t>
      </w:r>
    </w:p>
    <w:tbl>
      <w:tblPr>
        <w:tblW w:type="auto" w:w="0"/>
        <w:jc w:val="center"/>
        <w:tblLayout w:type="fixed"/>
        <w:tblLook w:firstColumn="1" w:firstRow="1" w:lastColumn="0" w:lastRow="0" w:noHBand="0" w:noVBand="1" w:val="04A0"/>
      </w:tblPr>
      <w:tblGrid>
        <w:gridCol w:w="9922"/>
      </w:tblGrid>
      <w:tr>
        <w:tc>
          <w:tcPr>
            <w:tcW w:type="dxa" w:w="8957"/>
            <w:shd w:fill="EAF2F8"/>
            <w:tcMar>
              <w:top w:w="160" w:type="dxa"/>
              <w:start w:w="220" w:type="dxa"/>
              <w:bottom w:w="160" w:type="dxa"/>
              <w:end w:w="220" w:type="dxa"/>
            </w:tcMar>
            <w:tcBorders>
              <w:top w:val="single" w:sz="10" w:color="1F4E79"/>
              <w:left w:val="single" w:sz="10" w:color="1F4E79"/>
              <w:bottom w:val="single" w:sz="10" w:color="1F4E79"/>
              <w:right w:val="single" w:sz="10" w:color="1F4E79"/>
            </w:tcBorders>
          </w:tcPr>
          <w:p>
            <w:pPr>
              <w:keepNext w:val="0"/>
              <w:keepLines w:val="0"/>
              <w:spacing w:before="0" w:after="0" w:line="288" w:lineRule="auto"/>
              <w:jc w:val="center"/>
              <w:bidi w:val="1"/>
            </w:pPr>
            <w:r>
              <w:rPr>
                <w:rFonts w:ascii="Noto Naskh Arabic" w:hAnsi="Noto Naskh Arabic" w:eastAsia="Noto Naskh Arabic" w:cs="Noto Naskh Arabic"/>
                <w:b/>
                <w:i w:val="0"/>
                <w:color w:val="17365D"/>
                <w:sz w:val="24"/>
                <w:rtl w:val="1"/>
              </w:rPr>
              <w:t>«من برای تصاحب ایران بازنگشته‌ام؛ آمده‌ام تا ایران را به صاحبانش، یعنی شهروندان ایران، بازگردانم.»</w:t>
            </w:r>
          </w:p>
        </w:tc>
      </w:tr>
    </w:tbl>
    <w:p>
      <w:pPr>
        <w:spacing w:after="0"/>
        <w:widowControl w:val="1"/>
      </w:pPr>
    </w:p>
    <w:p>
      <w:pPr>
        <w:keepNext w:val="0"/>
        <w:keepLines w:val="0"/>
        <w:spacing w:before="0" w:after="120" w:line="300" w:lineRule="auto"/>
        <w:jc w:val="both"/>
        <w:bidi w:val="1"/>
        <w:widowControl w:val="1"/>
      </w:pPr>
      <w:r>
        <w:rPr>
          <w:rFonts w:ascii="Noto Naskh Arabic" w:hAnsi="Noto Naskh Arabic" w:eastAsia="Noto Naskh Arabic" w:cs="Noto Naskh Arabic"/>
          <w:b w:val="0"/>
          <w:i w:val="0"/>
          <w:color w:val="1F2937"/>
          <w:sz w:val="22"/>
          <w:rtl w:val="1"/>
        </w:rPr>
        <w:t>او منشوری عمومی امضا می‌کند که چهار اصل بنیادین دارد: تمامیت ارضی، برابری کامل شهروندان، جدایی دین و دولت و حق مردم برای انتخاب آزادانهٔ شکل حکومت. این اصول با مواضع اعلامی او هم‌سو است، اما در یک نظم دموکراتیک اعتبار نهایی نه از بیانیه، بلکه از سازوکار، تیم، شفافیت و رفتار در بحران به دست می‌آید. [۲۶، ۳۲، ۳۳]</w:t>
      </w:r>
    </w:p>
    <w:p>
      <w:pPr>
        <w:keepNext w:val="0"/>
        <w:keepLines w:val="0"/>
        <w:spacing w:before="0" w:after="120" w:line="300" w:lineRule="auto"/>
        <w:jc w:val="both"/>
        <w:bidi w:val="1"/>
        <w:widowControl w:val="1"/>
      </w:pPr>
      <w:r>
        <w:rPr>
          <w:rFonts w:ascii="Noto Naskh Arabic" w:hAnsi="Noto Naskh Arabic" w:eastAsia="Noto Naskh Arabic" w:cs="Noto Naskh Arabic"/>
          <w:b w:val="0"/>
          <w:i w:val="0"/>
          <w:color w:val="1F2937"/>
          <w:sz w:val="22"/>
          <w:rtl w:val="1"/>
        </w:rPr>
        <w:t>شورای گذار از یک حلقهٔ بسته تشکیل نمی‌شود. مشروطه‌خواهان، جمهوری‌خواهان، لیبرال‌ها، سوسیال‌دموکرات‌ها، چپ‌های دموکرات، سبزها، محافظه‌کاران دموکرات، ملی‌گرایان مدنی، دین‌باوران سکولار، نمایندگان زنان، کارگران، دانشجویان، دانشگاهیان، استان‌ها، اقوام، ادیان و ایرانیان خارج از کشور در آن حضور دارند. هر جریان حق دارد حافظه و تحلیل خود را حفظ کند، اما همه دربارهٔ مقصد و قواعد رقابت توافق می‌کنند. [۳۳–۳۵]</w:t>
      </w:r>
    </w:p>
    <w:tbl>
      <w:tblPr>
        <w:tblW w:type="auto" w:w="0"/>
        <w:jc w:val="center"/>
        <w:tblLayout w:type="fixed"/>
        <w:tblLook w:firstColumn="1" w:firstRow="1" w:lastColumn="0" w:lastRow="0" w:noHBand="0" w:noVBand="1" w:val="04A0"/>
      </w:tblPr>
      <w:tblGrid>
        <w:gridCol w:w="9922"/>
      </w:tblGrid>
      <w:tr>
        <w:tc>
          <w:tcPr>
            <w:tcW w:type="dxa" w:w="8957"/>
            <w:shd w:fill="EAF2F8"/>
            <w:tcMar>
              <w:top w:w="160" w:type="dxa"/>
              <w:start w:w="220" w:type="dxa"/>
              <w:bottom w:w="160" w:type="dxa"/>
              <w:end w:w="220" w:type="dxa"/>
            </w:tcMar>
            <w:tcBorders>
              <w:top w:val="single" w:sz="10" w:color="1F4E79"/>
              <w:left w:val="single" w:sz="10" w:color="1F4E79"/>
              <w:bottom w:val="single" w:sz="10" w:color="1F4E79"/>
              <w:right w:val="single" w:sz="10" w:color="1F4E79"/>
            </w:tcBorders>
          </w:tcPr>
          <w:p>
            <w:pPr>
              <w:keepNext w:val="0"/>
              <w:keepLines w:val="0"/>
              <w:spacing w:before="0" w:after="0" w:line="288" w:lineRule="auto"/>
              <w:jc w:val="center"/>
              <w:bidi w:val="1"/>
            </w:pPr>
            <w:r>
              <w:rPr>
                <w:rFonts w:ascii="Noto Naskh Arabic" w:hAnsi="Noto Naskh Arabic" w:eastAsia="Noto Naskh Arabic" w:cs="Noto Naskh Arabic"/>
                <w:b/>
                <w:i w:val="0"/>
                <w:color w:val="17365D"/>
                <w:sz w:val="24"/>
                <w:rtl w:val="1"/>
              </w:rPr>
              <w:t>«وحدت در مقصد و قواعد؛ تکثر در حافظه و تحلیل.»</w:t>
            </w:r>
          </w:p>
        </w:tc>
      </w:tr>
    </w:tbl>
    <w:p>
      <w:pPr>
        <w:spacing w:after="0"/>
        <w:widowControl w:val="1"/>
      </w:pPr>
    </w:p>
    <w:p>
      <w:pPr>
        <w:pStyle w:val="Heading2"/>
        <w:keepNext/>
        <w:keepLines w:val="0"/>
        <w:spacing w:before="120" w:after="100" w:line="252" w:lineRule="auto"/>
        <w:jc w:val="right"/>
        <w:bidi w:val="1"/>
        <w:widowControl w:val="1"/>
      </w:pPr>
      <w:r>
        <w:rPr>
          <w:rFonts w:ascii="Noto Sans Arabic" w:hAnsi="Noto Sans Arabic" w:eastAsia="Noto Sans Arabic" w:cs="Noto Sans Arabic"/>
          <w:b/>
          <w:i w:val="0"/>
          <w:color w:val="1F4E79"/>
          <w:sz w:val="26"/>
          <w:rtl w:val="1"/>
        </w:rPr>
        <w:t>صد روز نخست</w:t>
      </w:r>
    </w:p>
    <w:p>
      <w:pPr>
        <w:keepNext w:val="0"/>
        <w:keepLines w:val="0"/>
        <w:spacing w:before="0" w:after="120" w:line="300" w:lineRule="auto"/>
        <w:jc w:val="both"/>
        <w:bidi w:val="1"/>
        <w:widowControl w:val="1"/>
      </w:pPr>
      <w:r>
        <w:rPr>
          <w:rFonts w:ascii="Noto Naskh Arabic" w:hAnsi="Noto Naskh Arabic" w:eastAsia="Noto Naskh Arabic" w:cs="Noto Naskh Arabic"/>
          <w:b w:val="0"/>
          <w:i w:val="0"/>
          <w:color w:val="1F2937"/>
          <w:sz w:val="22"/>
          <w:rtl w:val="1"/>
        </w:rPr>
        <w:t>در صد روز نخست، زندانیان سیاسی آزاد، اعدام متوقف، حجاب اجباری و قوانین جرم‌انگار عقیده لغو و اینترنت آزاد می‌شود. نیروهای نظامی و اداری بر اساس مسئولیت فردی ارزیابی می‌شوند؛ نه همهٔ کارکنان دولت مجرم شناخته می‌شوند و نه مرتکبان جنایت از پاسخ‌گویی می‌گریزند. بیمارستان‌ها، نیروگاه‌ها، بنادر، فرودگاه‌ها، مراکز هسته‌ای، انبارهای غذا و اسناد دولتی حفاظت می‌شوند. [۳۱، ۳۲، ۳۵]</w:t>
      </w:r>
    </w:p>
    <w:p>
      <w:pPr>
        <w:keepNext w:val="0"/>
        <w:keepLines w:val="0"/>
        <w:spacing w:before="0" w:after="120" w:line="300" w:lineRule="auto"/>
        <w:jc w:val="both"/>
        <w:bidi w:val="1"/>
        <w:widowControl w:val="1"/>
      </w:pPr>
      <w:r>
        <w:rPr>
          <w:rFonts w:ascii="Noto Naskh Arabic" w:hAnsi="Noto Naskh Arabic" w:eastAsia="Noto Naskh Arabic" w:cs="Noto Naskh Arabic"/>
          <w:b w:val="0"/>
          <w:i w:val="0"/>
          <w:color w:val="1F2937"/>
          <w:sz w:val="22"/>
          <w:rtl w:val="1"/>
        </w:rPr>
        <w:t>بانک مرکزی استقلال عملی می‌یابد. حقوق کارکنان، بازنشستگان، پزشکان، پرستاران، معلمان و نیروهای خدمات عمومی پرداخت می‌شود. بودجهٔ اضطراری، حمایت غذایی و دارویی، کنترل موقت خروج سرمایه و انتشار فهرست بدهی‌های عمومی در دستور کار قرار می‌گیرد. دولت انتقالی اجازه ندارد قراردادهای بلندمدت محرمانه دربارهٔ منابع ملی امضا کند.</w:t>
      </w:r>
    </w:p>
    <w:p>
      <w:pPr>
        <w:pStyle w:val="Heading2"/>
        <w:keepNext/>
        <w:keepLines w:val="0"/>
        <w:spacing w:before="120" w:after="100" w:line="252" w:lineRule="auto"/>
        <w:jc w:val="right"/>
        <w:bidi w:val="1"/>
        <w:widowControl w:val="1"/>
      </w:pPr>
      <w:r>
        <w:rPr>
          <w:rFonts w:ascii="Noto Sans Arabic" w:hAnsi="Noto Sans Arabic" w:eastAsia="Noto Sans Arabic" w:cs="Noto Sans Arabic"/>
          <w:b/>
          <w:i w:val="0"/>
          <w:color w:val="1F4E79"/>
          <w:sz w:val="26"/>
          <w:rtl w:val="1"/>
        </w:rPr>
        <w:t>از گذار تا قانون اساسی</w:t>
      </w:r>
    </w:p>
    <w:p>
      <w:pPr>
        <w:keepNext w:val="0"/>
        <w:keepLines w:val="0"/>
        <w:spacing w:before="0" w:after="120" w:line="300" w:lineRule="auto"/>
        <w:jc w:val="both"/>
        <w:bidi w:val="1"/>
        <w:widowControl w:val="1"/>
      </w:pPr>
      <w:r>
        <w:rPr>
          <w:rFonts w:ascii="Noto Naskh Arabic" w:hAnsi="Noto Naskh Arabic" w:eastAsia="Noto Naskh Arabic" w:cs="Noto Naskh Arabic"/>
          <w:b w:val="0"/>
          <w:i w:val="0"/>
          <w:color w:val="1F2937"/>
          <w:sz w:val="22"/>
          <w:rtl w:val="1"/>
        </w:rPr>
        <w:t>در ماه ششم، انتخابات مجلس مؤسسان برگزار می‌شود. دو بستهٔ قانون اساسی با حقوق بنیادین هم‌ارز به جامعه ارائه می‌شود: جمهوری پارلمانی و پادشاهی مشروطهٔ پارلمانی. در این داستان فرضی، مردم پس از بحث آزاد با رأی روشن به پادشاهی مشروطهٔ پارلمانی رأی می‌دهند. پادشاه رئیس کشور و نماد تداوم ملی است؛ نخست‌وزیر را اکثریت پارلمان تعیین می‌کند و تاج نه حزب می‌سازد، نه دادگاه و رسانه را کنترل می‌کند و نه در سیاست روزمره مداخله دارد. [۳۳، ۳۵]</w:t>
      </w:r>
    </w:p>
    <w:tbl>
      <w:tblPr>
        <w:tblW w:type="auto" w:w="0"/>
        <w:jc w:val="center"/>
        <w:tblLayout w:type="fixed"/>
        <w:tblLook w:firstColumn="1" w:firstRow="1" w:lastColumn="0" w:lastRow="0" w:noHBand="0" w:noVBand="1" w:val="04A0"/>
      </w:tblPr>
      <w:tblGrid>
        <w:gridCol w:w="9922"/>
      </w:tblGrid>
      <w:tr>
        <w:tc>
          <w:tcPr>
            <w:tcW w:type="dxa" w:w="8957"/>
            <w:shd w:fill="EAF2F8"/>
            <w:tcMar>
              <w:top w:w="160" w:type="dxa"/>
              <w:start w:w="220" w:type="dxa"/>
              <w:bottom w:w="160" w:type="dxa"/>
              <w:end w:w="220" w:type="dxa"/>
            </w:tcMar>
            <w:tcBorders>
              <w:top w:val="single" w:sz="10" w:color="1F4E79"/>
              <w:left w:val="single" w:sz="10" w:color="1F4E79"/>
              <w:bottom w:val="single" w:sz="10" w:color="1F4E79"/>
              <w:right w:val="single" w:sz="10" w:color="1F4E79"/>
            </w:tcBorders>
          </w:tcPr>
          <w:p>
            <w:pPr>
              <w:keepNext w:val="0"/>
              <w:keepLines w:val="0"/>
              <w:spacing w:before="0" w:after="0" w:line="288" w:lineRule="auto"/>
              <w:jc w:val="center"/>
              <w:bidi w:val="1"/>
            </w:pPr>
            <w:r>
              <w:rPr>
                <w:rFonts w:ascii="Noto Naskh Arabic" w:hAnsi="Noto Naskh Arabic" w:eastAsia="Noto Naskh Arabic" w:cs="Noto Naskh Arabic"/>
                <w:b/>
                <w:i w:val="0"/>
                <w:color w:val="17365D"/>
                <w:sz w:val="24"/>
                <w:rtl w:val="1"/>
              </w:rPr>
              <w:t>«تاج زیر قانون؛ نه قانون زیر تاج. پادشاه نماد ایران؛ دولت برآمده از پارلمان.»</w:t>
            </w:r>
          </w:p>
        </w:tc>
      </w:tr>
    </w:tbl>
    <w:p>
      <w:pPr>
        <w:spacing w:after="0"/>
        <w:widowControl w:val="1"/>
      </w:pPr>
    </w:p>
    <w:p>
      <w:pPr>
        <w:keepNext w:val="0"/>
        <w:keepLines w:val="0"/>
        <w:spacing w:before="0" w:after="120" w:line="300" w:lineRule="auto"/>
        <w:jc w:val="both"/>
        <w:bidi w:val="1"/>
        <w:widowControl w:val="1"/>
      </w:pPr>
      <w:r>
        <w:rPr>
          <w:rFonts w:ascii="Noto Naskh Arabic" w:hAnsi="Noto Naskh Arabic" w:eastAsia="Noto Naskh Arabic" w:cs="Noto Naskh Arabic"/>
          <w:b w:val="0"/>
          <w:i w:val="0"/>
          <w:color w:val="1F2937"/>
          <w:sz w:val="22"/>
          <w:rtl w:val="1"/>
        </w:rPr>
        <w:t>در چنین ساختاری، وفاداری به پادشاه با اطاعت سیاسی یکسان نیست. وفاداری حقیقی، وفاداری به قانون اساسی، تمامیت ارضی، حقوق شهروندان و انتقال مسالمت‌آمیز قدرت است. پادشاه نیز با سوگند به قانون، قدرت نمادین خود را برای حمایت از قواعد مشترک به کار می‌گیرد، نه برای تبدیل شدن به رهبر یک جناح.</w:t>
      </w:r>
    </w:p>
    <w:p>
      <w:pPr>
        <w:pStyle w:val="Heading1"/>
        <w:keepNext/>
        <w:keepLines w:val="0"/>
        <w:spacing w:before="200" w:after="100" w:line="252" w:lineRule="auto"/>
        <w:jc w:val="right"/>
        <w:bidi w:val="1"/>
        <w:pBdr>
          <w:bottom w:val="single" w:sz="8" w:space="5" w:color="B8872E"/>
        </w:pBdr>
        <w:widowControl w:val="1"/>
      </w:pPr>
      <w:r>
        <w:rPr>
          <w:rFonts w:ascii="Noto Sans Arabic" w:hAnsi="Noto Sans Arabic" w:eastAsia="Noto Sans Arabic" w:cs="Noto Sans Arabic"/>
          <w:b/>
          <w:i w:val="0"/>
          <w:color w:val="17365D"/>
          <w:sz w:val="32"/>
          <w:rtl w:val="1"/>
        </w:rPr>
        <w:t>۳. نقد جمهوری اسلامی: مسئله فقط یک دولت ناکارآمد نیست</w:t>
      </w:r>
    </w:p>
    <w:p>
      <w:pPr>
        <w:keepNext w:val="0"/>
        <w:keepLines w:val="0"/>
        <w:spacing w:before="0" w:after="120" w:line="300" w:lineRule="auto"/>
        <w:jc w:val="both"/>
        <w:bidi w:val="1"/>
        <w:widowControl w:val="1"/>
      </w:pPr>
      <w:r>
        <w:rPr>
          <w:rFonts w:ascii="Noto Naskh Arabic" w:hAnsi="Noto Naskh Arabic" w:eastAsia="Noto Naskh Arabic" w:cs="Noto Naskh Arabic"/>
          <w:b w:val="0"/>
          <w:i w:val="0"/>
          <w:color w:val="1F2937"/>
          <w:sz w:val="22"/>
          <w:rtl w:val="1"/>
        </w:rPr>
        <w:t>مشکل جمهوری اسلامی صرفاً چند مدیر ضعیف، چند پروندهٔ فساد یا چند تصمیم اقتصادی اشتباه نیست. مسئله، معماری نهادی حکومتی است که در آن رأی مردم زیر وتوی نهادهای دینی قرار دارد؛ اقتصاد در اختیار شبکه‌ای از بنیادها، نهادهای امنیتی و انحصارهای شبه‌دولتی است؛ سیاست خارجی به میدان صدور ایدئولوژی و جنگ نیابتی تبدیل شده؛ و تحریم و دشمنی دائمی برای گروه‌های رانتی به منبع قدرت بدل شده است. [۲۷–۲۹، ۳۲]</w:t>
      </w:r>
    </w:p>
    <w:p>
      <w:pPr>
        <w:keepNext w:val="0"/>
        <w:keepLines w:val="0"/>
        <w:spacing w:before="0" w:after="120" w:line="300" w:lineRule="auto"/>
        <w:jc w:val="both"/>
        <w:bidi w:val="1"/>
        <w:widowControl w:val="1"/>
      </w:pPr>
      <w:r>
        <w:rPr>
          <w:rFonts w:ascii="Noto Naskh Arabic" w:hAnsi="Noto Naskh Arabic" w:eastAsia="Noto Naskh Arabic" w:cs="Noto Naskh Arabic"/>
          <w:b w:val="0"/>
          <w:i w:val="0"/>
          <w:color w:val="1F2937"/>
          <w:sz w:val="22"/>
          <w:rtl w:val="1"/>
        </w:rPr>
        <w:t>حاصل این نظام فقط کاهش تولید نیست؛ تبدیل سرمایهٔ انسانی به سرمایهٔ مهاجر، تبدیل کارآفرین به مجوزخواه، تبدیل بازار به رانت و تبدیل سیاست خارجی به ماشین تولید دشمن است. منابع نفت، گاز، معدن و موقعیت جغرافیایی، بدون نهادهای سالم، نعمت تضمین‌شده نیستند؛ می‌توانند خوراک دولت رانتی و اقتصاد بسته شوند. بانک جهانی در کنار ظرفیت بازار بزرگ و نیروی انسانی تحصیل‌کرده، بر فشار منازعه، تحریم، کمبود آب و انرژی، ضعف سرمایه‌گذاری و افت درآمد واقعی تأکید کرده است. [۹]</w:t>
      </w:r>
    </w:p>
    <w:p>
      <w:pPr>
        <w:keepNext w:val="0"/>
        <w:keepLines w:val="0"/>
        <w:spacing w:before="0" w:after="120" w:line="300" w:lineRule="auto"/>
        <w:jc w:val="both"/>
        <w:bidi w:val="1"/>
        <w:widowControl w:val="1"/>
      </w:pPr>
      <w:r>
        <w:rPr>
          <w:rFonts w:ascii="Noto Naskh Arabic" w:hAnsi="Noto Naskh Arabic" w:eastAsia="Noto Naskh Arabic" w:cs="Noto Naskh Arabic"/>
          <w:b w:val="0"/>
          <w:i w:val="0"/>
          <w:color w:val="1F2937"/>
          <w:sz w:val="22"/>
          <w:rtl w:val="1"/>
        </w:rPr>
        <w:t>یکی از بزرگ‌ترین ظرفیت‌های آزاد نشده، زنان ایران‌اند. مشارکت بسیار پایین زنان در بازار کار به معنای حذف بخش بزرگی از استعداد، مدیریت، کارآفرینی و درآمد خانوار است. برابری حقوقی و اقتصادی زنان فقط یک مطالبهٔ اخلاقی نیست؛ یکی از مهم‌ترین اصلاحات طرف عرضه و سرمایهٔ انسانی برای ایران آینده است. [۱۱، ۳۵]</w:t>
      </w:r>
    </w:p>
    <w:p>
      <w:pPr>
        <w:keepNext w:val="0"/>
        <w:keepLines w:val="0"/>
        <w:spacing w:before="0" w:after="120" w:line="300" w:lineRule="auto"/>
        <w:jc w:val="both"/>
        <w:bidi w:val="1"/>
        <w:widowControl w:val="1"/>
      </w:pPr>
      <w:r>
        <w:rPr>
          <w:rFonts w:ascii="Noto Naskh Arabic" w:hAnsi="Noto Naskh Arabic" w:eastAsia="Noto Naskh Arabic" w:cs="Noto Naskh Arabic"/>
          <w:b w:val="0"/>
          <w:i w:val="0"/>
          <w:color w:val="1F2937"/>
          <w:sz w:val="22"/>
          <w:rtl w:val="1"/>
        </w:rPr>
        <w:t>در عین حال، تصویر «ایران برای همیشه جوان» دقیق نیست. کشور هنوز جمعیت بزرگی در سن کار دارد، اما با کاهش باروری و سالمندی سریع روبه‌رو است. بنابراین پنجرهٔ جمعیتی محدود است. تأخیر در اصلاح آموزش، اشتغال زنان، مهاجرت معکوس و بهره‌وری می‌تواند این فرصت را از میان ببرد. [۲۲]</w:t>
      </w:r>
    </w:p>
    <w:p>
      <w:pPr>
        <w:pStyle w:val="Heading1"/>
        <w:keepNext/>
        <w:keepLines w:val="0"/>
        <w:spacing w:before="200" w:after="100" w:line="252" w:lineRule="auto"/>
        <w:jc w:val="right"/>
        <w:bidi w:val="1"/>
        <w:pBdr>
          <w:bottom w:val="single" w:sz="8" w:space="5" w:color="B8872E"/>
        </w:pBdr>
        <w:widowControl w:val="1"/>
      </w:pPr>
      <w:r>
        <w:rPr>
          <w:rFonts w:ascii="Noto Sans Arabic" w:hAnsi="Noto Sans Arabic" w:eastAsia="Noto Sans Arabic" w:cs="Noto Sans Arabic"/>
          <w:b/>
          <w:i w:val="0"/>
          <w:color w:val="17365D"/>
          <w:sz w:val="32"/>
          <w:rtl w:val="1"/>
        </w:rPr>
        <w:t>۴. اقتصاد شومپتری ایران نوین: انحصار باید بمیرد، نه انسان</w:t>
      </w:r>
    </w:p>
    <w:p>
      <w:pPr>
        <w:keepNext w:val="0"/>
        <w:keepLines w:val="0"/>
        <w:spacing w:before="0" w:after="120" w:line="300" w:lineRule="auto"/>
        <w:jc w:val="both"/>
        <w:bidi w:val="1"/>
        <w:widowControl w:val="1"/>
      </w:pPr>
      <w:r>
        <w:rPr>
          <w:rFonts w:ascii="Noto Naskh Arabic" w:hAnsi="Noto Naskh Arabic" w:eastAsia="Noto Naskh Arabic" w:cs="Noto Naskh Arabic"/>
          <w:b w:val="0"/>
          <w:i w:val="0"/>
          <w:color w:val="1F2937"/>
          <w:sz w:val="22"/>
          <w:rtl w:val="1"/>
        </w:rPr>
        <w:t>در نظریهٔ شومپتر، موتور رشد فقط استخراج نفت یا افزایش هزینهٔ دولت نیست. موتور واقعی، کارآفرین، نوآوری، فناوری تازه، بازار تازه، سازمان تازه و رقابتی است که بنگاه‌های ناکارآمد را وادار به تغییر می‌کند. «تخریب خلاق» در این معنا، جابه‌جایی منابع از فعالیت‌های کهنه و رانتی به فعالیت‌های مولدتر است. [۱]</w:t>
      </w:r>
    </w:p>
    <w:p>
      <w:pPr>
        <w:keepNext w:val="0"/>
        <w:keepLines w:val="0"/>
        <w:spacing w:before="0" w:after="120" w:line="300" w:lineRule="auto"/>
        <w:jc w:val="both"/>
        <w:bidi w:val="1"/>
        <w:widowControl w:val="1"/>
      </w:pPr>
      <w:r>
        <w:rPr>
          <w:rFonts w:ascii="Noto Naskh Arabic" w:hAnsi="Noto Naskh Arabic" w:eastAsia="Noto Naskh Arabic" w:cs="Noto Naskh Arabic"/>
          <w:b w:val="0"/>
          <w:i w:val="0"/>
          <w:color w:val="1F2937"/>
          <w:sz w:val="22"/>
          <w:rtl w:val="1"/>
        </w:rPr>
        <w:t>در ایران نوین، آنچه باید تخریب شود عبارت است از:</w:t>
      </w:r>
    </w:p>
    <w:p>
      <w:pPr>
        <w:pStyle w:val="ListBullet"/>
        <w:keepNext w:val="0"/>
        <w:keepLines w:val="0"/>
        <w:spacing w:before="0" w:after="60" w:line="283" w:lineRule="auto"/>
        <w:ind w:right="255"/>
        <w:jc w:val="both"/>
        <w:bidi w:val="1"/>
        <w:widowControl w:val="1"/>
      </w:pPr>
      <w:r>
        <w:rPr>
          <w:rFonts w:ascii="Noto Naskh Arabic" w:hAnsi="Noto Naskh Arabic" w:eastAsia="Noto Naskh Arabic" w:cs="Noto Naskh Arabic"/>
          <w:b w:val="0"/>
          <w:i w:val="0"/>
          <w:color w:val="1F2937"/>
          <w:sz w:val="22"/>
          <w:rtl w:val="1"/>
        </w:rPr>
        <w:t>انحصارهای نظامی، مذهبی و شبه‌دولتی؛</w:t>
      </w:r>
    </w:p>
    <w:p>
      <w:pPr>
        <w:pStyle w:val="ListBullet"/>
        <w:keepNext w:val="0"/>
        <w:keepLines w:val="0"/>
        <w:spacing w:before="0" w:after="60" w:line="283" w:lineRule="auto"/>
        <w:ind w:right="255"/>
        <w:jc w:val="both"/>
        <w:bidi w:val="1"/>
        <w:widowControl w:val="1"/>
      </w:pPr>
      <w:r>
        <w:rPr>
          <w:rFonts w:ascii="Noto Naskh Arabic" w:hAnsi="Noto Naskh Arabic" w:eastAsia="Noto Naskh Arabic" w:cs="Noto Naskh Arabic"/>
          <w:b w:val="0"/>
          <w:i w:val="0"/>
          <w:color w:val="1F2937"/>
          <w:sz w:val="22"/>
          <w:rtl w:val="1"/>
        </w:rPr>
        <w:t>مجوزهای رانتی، نرخ‌های چندگانهٔ ارز و تخصیص اعتبارات بر اساس رابطه؛</w:t>
      </w:r>
    </w:p>
    <w:p>
      <w:pPr>
        <w:pStyle w:val="ListBullet"/>
        <w:keepNext w:val="0"/>
        <w:keepLines w:val="0"/>
        <w:spacing w:before="0" w:after="60" w:line="283" w:lineRule="auto"/>
        <w:ind w:right="255"/>
        <w:jc w:val="both"/>
        <w:bidi w:val="1"/>
        <w:widowControl w:val="1"/>
      </w:pPr>
      <w:r>
        <w:rPr>
          <w:rFonts w:ascii="Noto Naskh Arabic" w:hAnsi="Noto Naskh Arabic" w:eastAsia="Noto Naskh Arabic" w:cs="Noto Naskh Arabic"/>
          <w:b w:val="0"/>
          <w:i w:val="0"/>
          <w:color w:val="1F2937"/>
          <w:sz w:val="22"/>
          <w:rtl w:val="1"/>
        </w:rPr>
        <w:t>بانک‌های ورشکستهٔ متصل به قدرت و شرکت‌های صوری؛</w:t>
      </w:r>
    </w:p>
    <w:p>
      <w:pPr>
        <w:pStyle w:val="ListBullet"/>
        <w:keepNext w:val="0"/>
        <w:keepLines w:val="0"/>
        <w:spacing w:before="0" w:after="60" w:line="283" w:lineRule="auto"/>
        <w:ind w:right="255"/>
        <w:jc w:val="both"/>
        <w:bidi w:val="1"/>
        <w:widowControl w:val="1"/>
      </w:pPr>
      <w:r>
        <w:rPr>
          <w:rFonts w:ascii="Noto Naskh Arabic" w:hAnsi="Noto Naskh Arabic" w:eastAsia="Noto Naskh Arabic" w:cs="Noto Naskh Arabic"/>
          <w:b w:val="0"/>
          <w:i w:val="0"/>
          <w:color w:val="1F2937"/>
          <w:sz w:val="22"/>
          <w:rtl w:val="1"/>
        </w:rPr>
        <w:t>مناقصه‌های محرمانه و استخدام بر اساس وفاداری ایدئولوژیک؛</w:t>
      </w:r>
    </w:p>
    <w:p>
      <w:pPr>
        <w:pStyle w:val="ListBullet"/>
        <w:keepNext w:val="0"/>
        <w:keepLines w:val="0"/>
        <w:spacing w:before="0" w:after="60" w:line="283" w:lineRule="auto"/>
        <w:ind w:right="255"/>
        <w:jc w:val="both"/>
        <w:bidi w:val="1"/>
        <w:widowControl w:val="1"/>
      </w:pPr>
      <w:r>
        <w:rPr>
          <w:rFonts w:ascii="Noto Naskh Arabic" w:hAnsi="Noto Naskh Arabic" w:eastAsia="Noto Naskh Arabic" w:cs="Noto Naskh Arabic"/>
          <w:b w:val="0"/>
          <w:i w:val="0"/>
          <w:color w:val="1F2937"/>
          <w:sz w:val="22"/>
          <w:rtl w:val="1"/>
        </w:rPr>
        <w:t>فیلترینگ، انحصار داده و جلوگیری از اقتصاد دیجیتال؛</w:t>
      </w:r>
    </w:p>
    <w:p>
      <w:pPr>
        <w:pStyle w:val="ListBullet"/>
        <w:keepNext w:val="0"/>
        <w:keepLines w:val="0"/>
        <w:spacing w:before="0" w:after="60" w:line="283" w:lineRule="auto"/>
        <w:ind w:right="255"/>
        <w:jc w:val="both"/>
        <w:bidi w:val="1"/>
        <w:widowControl w:val="1"/>
      </w:pPr>
      <w:r>
        <w:rPr>
          <w:rFonts w:ascii="Noto Naskh Arabic" w:hAnsi="Noto Naskh Arabic" w:eastAsia="Noto Naskh Arabic" w:cs="Noto Naskh Arabic"/>
          <w:b w:val="0"/>
          <w:i w:val="0"/>
          <w:color w:val="1F2937"/>
          <w:sz w:val="22"/>
          <w:rtl w:val="1"/>
        </w:rPr>
        <w:t>خام‌فروشی منابع و تبدیل نفت به بودجهٔ مصرفی کوتاه‌مدت.</w:t>
      </w:r>
    </w:p>
    <w:p>
      <w:pPr>
        <w:keepNext w:val="0"/>
        <w:keepLines w:val="0"/>
        <w:spacing w:before="0" w:after="120" w:line="300" w:lineRule="auto"/>
        <w:jc w:val="both"/>
        <w:bidi w:val="1"/>
        <w:widowControl w:val="1"/>
      </w:pPr>
      <w:r>
        <w:rPr>
          <w:rFonts w:ascii="Noto Naskh Arabic" w:hAnsi="Noto Naskh Arabic" w:eastAsia="Noto Naskh Arabic" w:cs="Noto Naskh Arabic"/>
          <w:b w:val="0"/>
          <w:i w:val="0"/>
          <w:color w:val="1F2937"/>
          <w:sz w:val="22"/>
          <w:rtl w:val="1"/>
        </w:rPr>
        <w:t>آنچه باید آفریده شود عبارت است از:</w:t>
      </w:r>
    </w:p>
    <w:p>
      <w:pPr>
        <w:pStyle w:val="ListBullet"/>
        <w:keepNext w:val="0"/>
        <w:keepLines w:val="0"/>
        <w:spacing w:before="0" w:after="60" w:line="283" w:lineRule="auto"/>
        <w:ind w:right="255"/>
        <w:jc w:val="both"/>
        <w:bidi w:val="1"/>
        <w:widowControl w:val="1"/>
      </w:pPr>
      <w:r>
        <w:rPr>
          <w:rFonts w:ascii="Noto Naskh Arabic" w:hAnsi="Noto Naskh Arabic" w:eastAsia="Noto Naskh Arabic" w:cs="Noto Naskh Arabic"/>
          <w:b w:val="0"/>
          <w:i w:val="0"/>
          <w:color w:val="1F2937"/>
          <w:sz w:val="22"/>
          <w:rtl w:val="1"/>
        </w:rPr>
        <w:t>دادگاه مستقل تجاری، اجرای قرارداد و ثبت شفاف مالکیت؛</w:t>
      </w:r>
    </w:p>
    <w:p>
      <w:pPr>
        <w:pStyle w:val="ListBullet"/>
        <w:keepNext w:val="0"/>
        <w:keepLines w:val="0"/>
        <w:spacing w:before="0" w:after="60" w:line="283" w:lineRule="auto"/>
        <w:ind w:right="255"/>
        <w:jc w:val="both"/>
        <w:bidi w:val="1"/>
        <w:widowControl w:val="1"/>
      </w:pPr>
      <w:r>
        <w:rPr>
          <w:rFonts w:ascii="Noto Naskh Arabic" w:hAnsi="Noto Naskh Arabic" w:eastAsia="Noto Naskh Arabic" w:cs="Noto Naskh Arabic"/>
          <w:b w:val="0"/>
          <w:i w:val="0"/>
          <w:color w:val="1F2937"/>
          <w:sz w:val="22"/>
          <w:rtl w:val="1"/>
        </w:rPr>
        <w:t>قانون ورشکستگی مدرن، قانون رقابت و منع انحصار؛</w:t>
      </w:r>
    </w:p>
    <w:p>
      <w:pPr>
        <w:pStyle w:val="ListBullet"/>
        <w:keepNext w:val="0"/>
        <w:keepLines w:val="0"/>
        <w:spacing w:before="0" w:after="60" w:line="283" w:lineRule="auto"/>
        <w:ind w:right="255"/>
        <w:jc w:val="both"/>
        <w:bidi w:val="1"/>
        <w:widowControl w:val="1"/>
      </w:pPr>
      <w:r>
        <w:rPr>
          <w:rFonts w:ascii="Noto Naskh Arabic" w:hAnsi="Noto Naskh Arabic" w:eastAsia="Noto Naskh Arabic" w:cs="Noto Naskh Arabic"/>
          <w:b w:val="0"/>
          <w:i w:val="0"/>
          <w:color w:val="1F2937"/>
          <w:sz w:val="22"/>
          <w:rtl w:val="1"/>
        </w:rPr>
        <w:t>شرکت‌های کوچک و متوسط، سرمایهٔ خطرپذیر و بازار سرمایهٔ شفاف؛</w:t>
      </w:r>
    </w:p>
    <w:p>
      <w:pPr>
        <w:pStyle w:val="ListBullet"/>
        <w:keepNext w:val="0"/>
        <w:keepLines w:val="0"/>
        <w:spacing w:before="0" w:after="60" w:line="283" w:lineRule="auto"/>
        <w:ind w:right="255"/>
        <w:jc w:val="both"/>
        <w:bidi w:val="1"/>
        <w:widowControl w:val="1"/>
      </w:pPr>
      <w:r>
        <w:rPr>
          <w:rFonts w:ascii="Noto Naskh Arabic" w:hAnsi="Noto Naskh Arabic" w:eastAsia="Noto Naskh Arabic" w:cs="Noto Naskh Arabic"/>
          <w:b w:val="0"/>
          <w:i w:val="0"/>
          <w:color w:val="1F2937"/>
          <w:sz w:val="22"/>
          <w:rtl w:val="1"/>
        </w:rPr>
        <w:t>دانشگاه آزاد، پژوهش رقابتی و پیوند دانشگاه با صنعت؛</w:t>
      </w:r>
    </w:p>
    <w:p>
      <w:pPr>
        <w:pStyle w:val="ListBullet"/>
        <w:keepNext w:val="0"/>
        <w:keepLines w:val="0"/>
        <w:spacing w:before="0" w:after="60" w:line="283" w:lineRule="auto"/>
        <w:ind w:right="255"/>
        <w:jc w:val="both"/>
        <w:bidi w:val="1"/>
        <w:widowControl w:val="1"/>
      </w:pPr>
      <w:r>
        <w:rPr>
          <w:rFonts w:ascii="Noto Naskh Arabic" w:hAnsi="Noto Naskh Arabic" w:eastAsia="Noto Naskh Arabic" w:cs="Noto Naskh Arabic"/>
          <w:b w:val="0"/>
          <w:i w:val="0"/>
          <w:color w:val="1F2937"/>
          <w:sz w:val="22"/>
          <w:rtl w:val="1"/>
        </w:rPr>
        <w:t>هوش مصنوعی، نرم‌افزار، تجهیزات پزشکی، زیست‌فناوری و صنایع پیشرفته؛</w:t>
      </w:r>
    </w:p>
    <w:p>
      <w:pPr>
        <w:pStyle w:val="ListBullet"/>
        <w:keepNext w:val="0"/>
        <w:keepLines w:val="0"/>
        <w:spacing w:before="0" w:after="60" w:line="283" w:lineRule="auto"/>
        <w:ind w:right="255"/>
        <w:jc w:val="both"/>
        <w:bidi w:val="1"/>
        <w:widowControl w:val="1"/>
      </w:pPr>
      <w:r>
        <w:rPr>
          <w:rFonts w:ascii="Noto Naskh Arabic" w:hAnsi="Noto Naskh Arabic" w:eastAsia="Noto Naskh Arabic" w:cs="Noto Naskh Arabic"/>
          <w:b w:val="0"/>
          <w:i w:val="0"/>
          <w:color w:val="1F2937"/>
          <w:sz w:val="22"/>
          <w:rtl w:val="1"/>
        </w:rPr>
        <w:t>فناوری آب، شیرین‌سازی، بازیافت، کشاورزی دقیق و شبکهٔ برق هوشمند؛</w:t>
      </w:r>
    </w:p>
    <w:p>
      <w:pPr>
        <w:pStyle w:val="ListBullet"/>
        <w:keepNext w:val="0"/>
        <w:keepLines w:val="0"/>
        <w:spacing w:before="0" w:after="60" w:line="283" w:lineRule="auto"/>
        <w:ind w:right="255"/>
        <w:jc w:val="both"/>
        <w:bidi w:val="1"/>
        <w:widowControl w:val="1"/>
      </w:pPr>
      <w:r>
        <w:rPr>
          <w:rFonts w:ascii="Noto Naskh Arabic" w:hAnsi="Noto Naskh Arabic" w:eastAsia="Noto Naskh Arabic" w:cs="Noto Naskh Arabic"/>
          <w:b w:val="0"/>
          <w:i w:val="0"/>
          <w:color w:val="1F2937"/>
          <w:sz w:val="22"/>
          <w:rtl w:val="1"/>
        </w:rPr>
        <w:t>زنجیرهٔ ارزش مس، آهن، روی، طلا، پتروشیمی و مواد پیشرفته؛</w:t>
      </w:r>
    </w:p>
    <w:p>
      <w:pPr>
        <w:pStyle w:val="ListBullet"/>
        <w:keepNext w:val="0"/>
        <w:keepLines w:val="0"/>
        <w:spacing w:before="0" w:after="60" w:line="283" w:lineRule="auto"/>
        <w:ind w:right="255"/>
        <w:jc w:val="both"/>
        <w:bidi w:val="1"/>
        <w:widowControl w:val="1"/>
      </w:pPr>
      <w:r>
        <w:rPr>
          <w:rFonts w:ascii="Noto Naskh Arabic" w:hAnsi="Noto Naskh Arabic" w:eastAsia="Noto Naskh Arabic" w:cs="Noto Naskh Arabic"/>
          <w:b w:val="0"/>
          <w:i w:val="0"/>
          <w:color w:val="1F2937"/>
          <w:sz w:val="22"/>
          <w:rtl w:val="1"/>
        </w:rPr>
        <w:t>اقتصاد سبز، گردشگری، بنادر، ترانزیت و صادرات خدمات حرفه‌ای.</w:t>
      </w:r>
    </w:p>
    <w:p>
      <w:pPr>
        <w:keepNext w:val="0"/>
        <w:keepLines w:val="0"/>
        <w:spacing w:before="0" w:after="120" w:line="300" w:lineRule="auto"/>
        <w:jc w:val="both"/>
        <w:bidi w:val="1"/>
        <w:widowControl w:val="1"/>
      </w:pPr>
      <w:r>
        <w:rPr>
          <w:rFonts w:ascii="Noto Naskh Arabic" w:hAnsi="Noto Naskh Arabic" w:eastAsia="Noto Naskh Arabic" w:cs="Noto Naskh Arabic"/>
          <w:b w:val="0"/>
          <w:i w:val="0"/>
          <w:color w:val="1F2937"/>
          <w:sz w:val="22"/>
          <w:rtl w:val="1"/>
        </w:rPr>
        <w:t>اقتصاد شومپتری بدون حمایت اجتماعی می‌تواند بیکاری انتقالی، نابرابری و واکنش سیاسی ایجاد کند. بنابراین پویایی بازار باید با بیمهٔ بیکاری، بازآموزی شغلی، حقوق اتحادیه‌ها، بازنشستگی قابل انتقال، سلامت همگانی و حمایت موقت از خانوارهای آسیب‌پذیر همراه باشد. اقتصاد سالم به کارآفرین اجازهٔ موفقیت می‌دهد، اما اجازه نمی‌دهد شکست یک فناوری قدیمی به نابودی خانوادهٔ کارگر بینجامد. [۶، ۳۵]</w:t>
      </w:r>
    </w:p>
    <w:p>
      <w:pPr>
        <w:pStyle w:val="Heading2"/>
        <w:keepNext/>
        <w:keepLines w:val="0"/>
        <w:spacing w:before="120" w:after="100" w:line="252" w:lineRule="auto"/>
        <w:jc w:val="right"/>
        <w:bidi w:val="1"/>
        <w:widowControl w:val="1"/>
      </w:pPr>
      <w:r>
        <w:rPr>
          <w:rFonts w:ascii="Noto Sans Arabic" w:hAnsi="Noto Sans Arabic" w:eastAsia="Noto Sans Arabic" w:cs="Noto Sans Arabic"/>
          <w:b/>
          <w:i w:val="0"/>
          <w:color w:val="1F4E79"/>
          <w:sz w:val="26"/>
          <w:rtl w:val="1"/>
        </w:rPr>
        <w:t>شش موتور جهش شومپتری</w:t>
      </w:r>
    </w:p>
    <w:p>
      <w:pPr>
        <w:keepNext w:val="0"/>
        <w:keepLines w:val="0"/>
        <w:spacing w:before="0" w:after="120" w:line="300" w:lineRule="auto"/>
        <w:jc w:val="both"/>
        <w:bidi w:val="1"/>
        <w:widowControl w:val="1"/>
      </w:pPr>
      <w:r>
        <w:rPr>
          <w:rFonts w:ascii="Noto Naskh Arabic" w:hAnsi="Noto Naskh Arabic" w:eastAsia="Noto Naskh Arabic" w:cs="Noto Naskh Arabic"/>
          <w:b w:val="0"/>
          <w:i w:val="0"/>
          <w:color w:val="1F2937"/>
          <w:sz w:val="22"/>
          <w:rtl w:val="1"/>
        </w:rPr>
        <w:t>برای آنکه نوآوری از شعار به رشد قابل سنجش تبدیل شود، شش موتور باید هم‌زمان روشن شوند. ضعف هر موتور می‌تواند بازده پنج موتور دیگر را نیز کاهش دهد.</w:t>
      </w:r>
    </w:p>
    <w:tbl>
      <w:tblPr>
        <w:tblW w:type="auto" w:w="0"/>
        <w:jc w:val="center"/>
        <w:tblLayout w:type="fixed"/>
        <w:tblLook w:firstColumn="1" w:firstRow="1" w:lastColumn="0" w:lastRow="0" w:noHBand="0" w:noVBand="1" w:val="04A0"/>
        <w:bidiVisual w:val="1"/>
        <w:tblBorders>
          <w:top w:val="single" w:sz="4" w:color="BFC7D1"/>
          <w:left w:val="single" w:sz="4" w:color="BFC7D1"/>
          <w:bottom w:val="single" w:sz="4" w:color="BFC7D1"/>
          <w:right w:val="single" w:sz="4" w:color="BFC7D1"/>
          <w:insideH w:val="single" w:sz="4" w:color="BFC7D1"/>
          <w:insideV w:val="single" w:sz="4" w:color="BFC7D1"/>
        </w:tblBorders>
      </w:tblPr>
      <w:tblGrid>
        <w:gridCol w:w="4961"/>
        <w:gridCol w:w="4961"/>
      </w:tblGrid>
      <w:tr>
        <w:trPr>
          <w:tblHeader w:val="true"/>
        </w:trPr>
        <w:tc>
          <w:tcPr>
            <w:tcW w:type="dxa" w:w="2835"/>
            <w:vAlign w:val="center"/>
            <w:tcMar>
              <w:top w:w="90" w:type="dxa"/>
              <w:start w:w="100" w:type="dxa"/>
              <w:bottom w:w="90" w:type="dxa"/>
              <w:end w:w="100" w:type="dxa"/>
            </w:tcMar>
            <w:shd w:fill="2E7D32"/>
          </w:tcPr>
          <w:p>
            <w:pPr>
              <w:keepNext w:val="0"/>
              <w:keepLines w:val="0"/>
              <w:spacing w:before="0" w:after="0" w:line="264" w:lineRule="auto"/>
              <w:jc w:val="center"/>
              <w:bidi w:val="1"/>
            </w:pPr>
            <w:r>
              <w:rPr>
                <w:rFonts w:ascii="Noto Sans Arabic" w:hAnsi="Noto Sans Arabic" w:eastAsia="Noto Sans Arabic" w:cs="Noto Sans Arabic"/>
                <w:b/>
                <w:i w:val="0"/>
                <w:color w:val="FFFFFF"/>
                <w:sz w:val="18"/>
              </w:rPr>
            </w:r>
            <w:r>
              <w:rPr>
                <w:rFonts w:ascii="Noto Sans Arabic" w:hAnsi="Noto Sans Arabic" w:eastAsia="Noto Sans Arabic" w:cs="Noto Sans Arabic"/>
                <w:b/>
                <w:i w:val="0"/>
                <w:color w:val="FFFFFF"/>
                <w:sz w:val="18"/>
                <w:rtl w:val="1"/>
              </w:rPr>
              <w:t>موتور رشد</w:t>
            </w:r>
          </w:p>
        </w:tc>
        <w:tc>
          <w:tcPr>
            <w:tcW w:type="dxa" w:w="6350"/>
            <w:vAlign w:val="center"/>
            <w:tcMar>
              <w:top w:w="90" w:type="dxa"/>
              <w:start w:w="100" w:type="dxa"/>
              <w:bottom w:w="90" w:type="dxa"/>
              <w:end w:w="100" w:type="dxa"/>
            </w:tcMar>
            <w:shd w:fill="2E7D32"/>
          </w:tcPr>
          <w:p>
            <w:pPr>
              <w:keepNext w:val="0"/>
              <w:keepLines w:val="0"/>
              <w:spacing w:before="0" w:after="0" w:line="264" w:lineRule="auto"/>
              <w:jc w:val="center"/>
              <w:bidi w:val="1"/>
            </w:pPr>
            <w:r>
              <w:rPr>
                <w:rFonts w:ascii="Noto Sans Arabic" w:hAnsi="Noto Sans Arabic" w:eastAsia="Noto Sans Arabic" w:cs="Noto Sans Arabic"/>
                <w:b/>
                <w:i w:val="0"/>
                <w:color w:val="FFFFFF"/>
                <w:sz w:val="18"/>
              </w:rPr>
            </w:r>
            <w:r>
              <w:rPr>
                <w:rFonts w:ascii="Noto Sans Arabic" w:hAnsi="Noto Sans Arabic" w:eastAsia="Noto Sans Arabic" w:cs="Noto Sans Arabic"/>
                <w:b/>
                <w:i w:val="0"/>
                <w:color w:val="FFFFFF"/>
                <w:sz w:val="18"/>
                <w:rtl w:val="1"/>
              </w:rPr>
              <w:t>سازوکار اثرگذاری</w:t>
            </w:r>
          </w:p>
        </w:tc>
      </w:tr>
      <w:tr>
        <w:tc>
          <w:tcPr>
            <w:tcW w:type="dxa" w:w="2835"/>
            <w:vAlign w:val="center"/>
            <w:tcMar>
              <w:top w:w="90" w:type="dxa"/>
              <w:start w:w="100" w:type="dxa"/>
              <w:bottom w:w="90" w:type="dxa"/>
              <w:end w:w="100" w:type="dxa"/>
            </w:tcMar>
            <w:shd w:fill="F5FAF6"/>
          </w:tcPr>
          <w:p>
            <w:pPr>
              <w:keepNext w:val="0"/>
              <w:keepLines w:val="0"/>
              <w:spacing w:before="0" w:after="0" w:line="264" w:lineRule="auto"/>
              <w:jc w:val="right"/>
              <w:bidi w:val="1"/>
            </w:pPr>
            <w:r/>
            <w:r>
              <w:rPr>
                <w:rFonts w:ascii="Noto Naskh Arabic" w:hAnsi="Noto Naskh Arabic" w:eastAsia="Noto Naskh Arabic" w:cs="Noto Naskh Arabic"/>
                <w:b/>
                <w:i w:val="0"/>
                <w:color w:val="2E7D32"/>
                <w:sz w:val="17"/>
                <w:rtl w:val="1"/>
              </w:rPr>
              <w:t>حاکمیت قانون و ثبات پولی</w:t>
            </w:r>
          </w:p>
        </w:tc>
        <w:tc>
          <w:tcPr>
            <w:tcW w:type="dxa" w:w="6350"/>
            <w:vAlign w:val="center"/>
            <w:tcMar>
              <w:top w:w="90" w:type="dxa"/>
              <w:start w:w="100" w:type="dxa"/>
              <w:bottom w:w="90" w:type="dxa"/>
              <w:end w:w="100" w:type="dxa"/>
            </w:tcMar>
            <w:shd w:fill="F5FAF6"/>
          </w:tcPr>
          <w:p>
            <w:pPr>
              <w:keepNext w:val="0"/>
              <w:keepLines w:val="0"/>
              <w:spacing w:before="0" w:after="0" w:line="264" w:lineRule="auto"/>
              <w:jc w:val="right"/>
              <w:bidi w:val="1"/>
            </w:pPr>
            <w:r/>
            <w:r>
              <w:rPr>
                <w:rFonts w:ascii="Noto Naskh Arabic" w:hAnsi="Noto Naskh Arabic" w:eastAsia="Noto Naskh Arabic" w:cs="Noto Naskh Arabic"/>
                <w:b w:val="0"/>
                <w:i w:val="0"/>
                <w:color w:val="1F2937"/>
                <w:sz w:val="17"/>
                <w:rtl w:val="1"/>
              </w:rPr>
              <w:t>کاهش ریسک، کاهش هزینهٔ سرمایه، قرارداد قابل اجرا و تبدیل پس‌انداز به سرمایه‌گذاری مولد.</w:t>
            </w:r>
          </w:p>
        </w:tc>
      </w:tr>
      <w:tr>
        <w:tc>
          <w:tcPr>
            <w:tcW w:type="dxa" w:w="2835"/>
            <w:vAlign w:val="center"/>
            <w:tcMar>
              <w:top w:w="90" w:type="dxa"/>
              <w:start w:w="100" w:type="dxa"/>
              <w:bottom w:w="90" w:type="dxa"/>
              <w:end w:w="100" w:type="dxa"/>
            </w:tcMar>
            <w:shd w:fill="FFFFFF"/>
          </w:tcPr>
          <w:p>
            <w:pPr>
              <w:keepNext w:val="0"/>
              <w:keepLines w:val="0"/>
              <w:spacing w:before="0" w:after="0" w:line="264" w:lineRule="auto"/>
              <w:jc w:val="right"/>
              <w:bidi w:val="1"/>
            </w:pPr>
            <w:r/>
            <w:r>
              <w:rPr>
                <w:rFonts w:ascii="Noto Naskh Arabic" w:hAnsi="Noto Naskh Arabic" w:eastAsia="Noto Naskh Arabic" w:cs="Noto Naskh Arabic"/>
                <w:b/>
                <w:i w:val="0"/>
                <w:color w:val="2E7D32"/>
                <w:sz w:val="17"/>
                <w:rtl w:val="1"/>
              </w:rPr>
              <w:t>مشارکت اقتصادی زنان</w:t>
            </w:r>
          </w:p>
        </w:tc>
        <w:tc>
          <w:tcPr>
            <w:tcW w:type="dxa" w:w="6350"/>
            <w:vAlign w:val="center"/>
            <w:tcMar>
              <w:top w:w="90" w:type="dxa"/>
              <w:start w:w="100" w:type="dxa"/>
              <w:bottom w:w="90" w:type="dxa"/>
              <w:end w:w="100" w:type="dxa"/>
            </w:tcMar>
            <w:shd w:fill="FFFFFF"/>
          </w:tcPr>
          <w:p>
            <w:pPr>
              <w:keepNext w:val="0"/>
              <w:keepLines w:val="0"/>
              <w:spacing w:before="0" w:after="0" w:line="264" w:lineRule="auto"/>
              <w:jc w:val="right"/>
              <w:bidi w:val="1"/>
            </w:pPr>
            <w:r/>
            <w:r>
              <w:rPr>
                <w:rFonts w:ascii="Noto Naskh Arabic" w:hAnsi="Noto Naskh Arabic" w:eastAsia="Noto Naskh Arabic" w:cs="Noto Naskh Arabic"/>
                <w:b w:val="0"/>
                <w:i w:val="0"/>
                <w:color w:val="1F2937"/>
                <w:sz w:val="17"/>
                <w:rtl w:val="1"/>
              </w:rPr>
              <w:t>افزایش عرضهٔ مهارت، درآمد خانوار، کارآفرینی و کیفیت تصمیم‌گیری در بنگاه و دولت.</w:t>
            </w:r>
          </w:p>
        </w:tc>
      </w:tr>
      <w:tr>
        <w:tc>
          <w:tcPr>
            <w:tcW w:type="dxa" w:w="2835"/>
            <w:vAlign w:val="center"/>
            <w:tcMar>
              <w:top w:w="90" w:type="dxa"/>
              <w:start w:w="100" w:type="dxa"/>
              <w:bottom w:w="90" w:type="dxa"/>
              <w:end w:w="100" w:type="dxa"/>
            </w:tcMar>
            <w:shd w:fill="F5FAF6"/>
          </w:tcPr>
          <w:p>
            <w:pPr>
              <w:keepNext w:val="0"/>
              <w:keepLines w:val="0"/>
              <w:spacing w:before="0" w:after="0" w:line="264" w:lineRule="auto"/>
              <w:jc w:val="right"/>
              <w:bidi w:val="1"/>
            </w:pPr>
            <w:r/>
            <w:r>
              <w:rPr>
                <w:rFonts w:ascii="Noto Naskh Arabic" w:hAnsi="Noto Naskh Arabic" w:eastAsia="Noto Naskh Arabic" w:cs="Noto Naskh Arabic"/>
                <w:b/>
                <w:i w:val="0"/>
                <w:color w:val="2E7D32"/>
                <w:sz w:val="17"/>
                <w:rtl w:val="1"/>
              </w:rPr>
              <w:t>دیاسپورا و گردش دانش</w:t>
            </w:r>
          </w:p>
        </w:tc>
        <w:tc>
          <w:tcPr>
            <w:tcW w:type="dxa" w:w="6350"/>
            <w:vAlign w:val="center"/>
            <w:tcMar>
              <w:top w:w="90" w:type="dxa"/>
              <w:start w:w="100" w:type="dxa"/>
              <w:bottom w:w="90" w:type="dxa"/>
              <w:end w:w="100" w:type="dxa"/>
            </w:tcMar>
            <w:shd w:fill="F5FAF6"/>
          </w:tcPr>
          <w:p>
            <w:pPr>
              <w:keepNext w:val="0"/>
              <w:keepLines w:val="0"/>
              <w:spacing w:before="0" w:after="0" w:line="264" w:lineRule="auto"/>
              <w:jc w:val="right"/>
              <w:bidi w:val="1"/>
            </w:pPr>
            <w:r/>
            <w:r>
              <w:rPr>
                <w:rFonts w:ascii="Noto Naskh Arabic" w:hAnsi="Noto Naskh Arabic" w:eastAsia="Noto Naskh Arabic" w:cs="Noto Naskh Arabic"/>
                <w:b w:val="0"/>
                <w:i w:val="0"/>
                <w:color w:val="1F2937"/>
                <w:sz w:val="17"/>
                <w:rtl w:val="1"/>
              </w:rPr>
              <w:t>انتقال فناوری، سرمایه، استاندارد حرفه‌ای، شبکهٔ بازار و مدیریت پروژه بدون جایگزین شدن با جامعهٔ داخل.</w:t>
            </w:r>
          </w:p>
        </w:tc>
      </w:tr>
      <w:tr>
        <w:tc>
          <w:tcPr>
            <w:tcW w:type="dxa" w:w="2835"/>
            <w:vAlign w:val="center"/>
            <w:tcMar>
              <w:top w:w="90" w:type="dxa"/>
              <w:start w:w="100" w:type="dxa"/>
              <w:bottom w:w="90" w:type="dxa"/>
              <w:end w:w="100" w:type="dxa"/>
            </w:tcMar>
            <w:shd w:fill="FFFFFF"/>
          </w:tcPr>
          <w:p>
            <w:pPr>
              <w:keepNext w:val="0"/>
              <w:keepLines w:val="0"/>
              <w:spacing w:before="0" w:after="0" w:line="264" w:lineRule="auto"/>
              <w:jc w:val="right"/>
              <w:bidi w:val="1"/>
            </w:pPr>
            <w:r/>
            <w:r>
              <w:rPr>
                <w:rFonts w:ascii="Noto Naskh Arabic" w:hAnsi="Noto Naskh Arabic" w:eastAsia="Noto Naskh Arabic" w:cs="Noto Naskh Arabic"/>
                <w:b/>
                <w:i w:val="0"/>
                <w:color w:val="2E7D32"/>
                <w:sz w:val="17"/>
                <w:rtl w:val="1"/>
              </w:rPr>
              <w:t>انرژی، معدن و زنجیرهٔ ارزش</w:t>
            </w:r>
          </w:p>
        </w:tc>
        <w:tc>
          <w:tcPr>
            <w:tcW w:type="dxa" w:w="6350"/>
            <w:vAlign w:val="center"/>
            <w:tcMar>
              <w:top w:w="90" w:type="dxa"/>
              <w:start w:w="100" w:type="dxa"/>
              <w:bottom w:w="90" w:type="dxa"/>
              <w:end w:w="100" w:type="dxa"/>
            </w:tcMar>
            <w:shd w:fill="FFFFFF"/>
          </w:tcPr>
          <w:p>
            <w:pPr>
              <w:keepNext w:val="0"/>
              <w:keepLines w:val="0"/>
              <w:spacing w:before="0" w:after="0" w:line="264" w:lineRule="auto"/>
              <w:jc w:val="right"/>
              <w:bidi w:val="1"/>
            </w:pPr>
            <w:r/>
            <w:r>
              <w:rPr>
                <w:rFonts w:ascii="Noto Naskh Arabic" w:hAnsi="Noto Naskh Arabic" w:eastAsia="Noto Naskh Arabic" w:cs="Noto Naskh Arabic"/>
                <w:b w:val="0"/>
                <w:i w:val="0"/>
                <w:color w:val="1F2937"/>
                <w:sz w:val="17"/>
                <w:rtl w:val="1"/>
              </w:rPr>
              <w:t>حرکت از خام‌فروشی به پالایش، مواد پیشرفته، پتروشیمی، فلزات فرآوری‌شده و صادرات صنعتی.</w:t>
            </w:r>
          </w:p>
        </w:tc>
      </w:tr>
      <w:tr>
        <w:tc>
          <w:tcPr>
            <w:tcW w:type="dxa" w:w="2835"/>
            <w:vAlign w:val="center"/>
            <w:tcMar>
              <w:top w:w="90" w:type="dxa"/>
              <w:start w:w="100" w:type="dxa"/>
              <w:bottom w:w="90" w:type="dxa"/>
              <w:end w:w="100" w:type="dxa"/>
            </w:tcMar>
            <w:shd w:fill="F5FAF6"/>
          </w:tcPr>
          <w:p>
            <w:pPr>
              <w:keepNext w:val="0"/>
              <w:keepLines w:val="0"/>
              <w:spacing w:before="0" w:after="0" w:line="264" w:lineRule="auto"/>
              <w:jc w:val="right"/>
              <w:bidi w:val="1"/>
            </w:pPr>
            <w:r/>
            <w:r>
              <w:rPr>
                <w:rFonts w:ascii="Noto Naskh Arabic" w:hAnsi="Noto Naskh Arabic" w:eastAsia="Noto Naskh Arabic" w:cs="Noto Naskh Arabic"/>
                <w:b/>
                <w:i w:val="0"/>
                <w:color w:val="2E7D32"/>
                <w:sz w:val="17"/>
                <w:rtl w:val="1"/>
              </w:rPr>
              <w:t>اقتصاد دیجیتال و دانشگاه آزاد</w:t>
            </w:r>
          </w:p>
        </w:tc>
        <w:tc>
          <w:tcPr>
            <w:tcW w:type="dxa" w:w="6350"/>
            <w:vAlign w:val="center"/>
            <w:tcMar>
              <w:top w:w="90" w:type="dxa"/>
              <w:start w:w="100" w:type="dxa"/>
              <w:bottom w:w="90" w:type="dxa"/>
              <w:end w:w="100" w:type="dxa"/>
            </w:tcMar>
            <w:shd w:fill="F5FAF6"/>
          </w:tcPr>
          <w:p>
            <w:pPr>
              <w:keepNext w:val="0"/>
              <w:keepLines w:val="0"/>
              <w:spacing w:before="0" w:after="0" w:line="264" w:lineRule="auto"/>
              <w:jc w:val="right"/>
              <w:bidi w:val="1"/>
            </w:pPr>
            <w:r/>
            <w:r>
              <w:rPr>
                <w:rFonts w:ascii="Noto Naskh Arabic" w:hAnsi="Noto Naskh Arabic" w:eastAsia="Noto Naskh Arabic" w:cs="Noto Naskh Arabic"/>
                <w:b w:val="0"/>
                <w:i w:val="0"/>
                <w:color w:val="1F2937"/>
                <w:sz w:val="17"/>
                <w:rtl w:val="1"/>
              </w:rPr>
              <w:t>رشد بهره‌وری از راه هوش مصنوعی، نرم‌افزار، پژوهش رقابتی، دولت دیجیتال و دسترسی آزاد به اطلاعات.</w:t>
            </w:r>
          </w:p>
        </w:tc>
      </w:tr>
      <w:tr>
        <w:tc>
          <w:tcPr>
            <w:tcW w:type="dxa" w:w="2835"/>
            <w:vAlign w:val="center"/>
            <w:tcMar>
              <w:top w:w="90" w:type="dxa"/>
              <w:start w:w="100" w:type="dxa"/>
              <w:bottom w:w="90" w:type="dxa"/>
              <w:end w:w="100" w:type="dxa"/>
            </w:tcMar>
            <w:shd w:fill="FFFFFF"/>
          </w:tcPr>
          <w:p>
            <w:pPr>
              <w:keepNext w:val="0"/>
              <w:keepLines w:val="0"/>
              <w:spacing w:before="0" w:after="0" w:line="264" w:lineRule="auto"/>
              <w:jc w:val="right"/>
              <w:bidi w:val="1"/>
            </w:pPr>
            <w:r/>
            <w:r>
              <w:rPr>
                <w:rFonts w:ascii="Noto Naskh Arabic" w:hAnsi="Noto Naskh Arabic" w:eastAsia="Noto Naskh Arabic" w:cs="Noto Naskh Arabic"/>
                <w:b/>
                <w:i w:val="0"/>
                <w:color w:val="2E7D32"/>
                <w:sz w:val="17"/>
                <w:rtl w:val="1"/>
              </w:rPr>
              <w:t>صلح منطقه‌ای و ادغام جهانی</w:t>
            </w:r>
          </w:p>
        </w:tc>
        <w:tc>
          <w:tcPr>
            <w:tcW w:type="dxa" w:w="6350"/>
            <w:vAlign w:val="center"/>
            <w:tcMar>
              <w:top w:w="90" w:type="dxa"/>
              <w:start w:w="100" w:type="dxa"/>
              <w:bottom w:w="90" w:type="dxa"/>
              <w:end w:w="100" w:type="dxa"/>
            </w:tcMar>
            <w:shd w:fill="FFFFFF"/>
          </w:tcPr>
          <w:p>
            <w:pPr>
              <w:keepNext w:val="0"/>
              <w:keepLines w:val="0"/>
              <w:spacing w:before="0" w:after="0" w:line="264" w:lineRule="auto"/>
              <w:jc w:val="right"/>
              <w:bidi w:val="1"/>
            </w:pPr>
            <w:r/>
            <w:r>
              <w:rPr>
                <w:rFonts w:ascii="Noto Naskh Arabic" w:hAnsi="Noto Naskh Arabic" w:eastAsia="Noto Naskh Arabic" w:cs="Noto Naskh Arabic"/>
                <w:b w:val="0"/>
                <w:i w:val="0"/>
                <w:color w:val="1F2937"/>
                <w:sz w:val="17"/>
                <w:rtl w:val="1"/>
              </w:rPr>
              <w:t>کاهش حق بیمهٔ ریسک، امنیت هرمز، توسعهٔ ترانزیت، گردشگری، صادرات خدمات و دسترسی به بازارهای بزرگ‌تر.</w:t>
            </w:r>
          </w:p>
        </w:tc>
      </w:tr>
    </w:tbl>
    <w:p>
      <w:pPr>
        <w:keepNext w:val="0"/>
        <w:keepLines w:val="0"/>
        <w:spacing w:before="60" w:after="140" w:line="240" w:lineRule="auto"/>
        <w:jc w:val="center"/>
        <w:bidi w:val="1"/>
        <w:widowControl w:val="1"/>
      </w:pPr>
      <w:r>
        <w:rPr>
          <w:rFonts w:ascii="Noto Naskh Arabic" w:hAnsi="Noto Naskh Arabic" w:eastAsia="Noto Naskh Arabic" w:cs="Noto Naskh Arabic"/>
          <w:b w:val="0"/>
          <w:i/>
          <w:color w:val="6B7280"/>
          <w:sz w:val="18"/>
          <w:rtl w:val="1"/>
        </w:rPr>
        <w:t>جدول میان‌بخشی. شش موتور مکمل برای تبدیل بازسازی به رشد بهره‌وری‌محور.</w:t>
      </w:r>
    </w:p>
    <w:tbl>
      <w:tblPr>
        <w:tblW w:type="auto" w:w="0"/>
        <w:jc w:val="center"/>
        <w:tblLayout w:type="fixed"/>
        <w:tblLook w:firstColumn="1" w:firstRow="1" w:lastColumn="0" w:lastRow="0" w:noHBand="0" w:noVBand="1" w:val="04A0"/>
      </w:tblPr>
      <w:tblGrid>
        <w:gridCol w:w="9922"/>
      </w:tblGrid>
      <w:tr>
        <w:tc>
          <w:tcPr>
            <w:tcW w:type="dxa" w:w="8957"/>
            <w:shd w:fill="EDF7EF"/>
            <w:tcMar>
              <w:top w:w="160" w:type="dxa"/>
              <w:start w:w="220" w:type="dxa"/>
              <w:bottom w:w="160" w:type="dxa"/>
              <w:end w:w="220" w:type="dxa"/>
            </w:tcMar>
            <w:tcBorders>
              <w:top w:val="single" w:sz="10" w:color="2E7D32"/>
              <w:left w:val="single" w:sz="10" w:color="2E7D32"/>
              <w:bottom w:val="single" w:sz="10" w:color="2E7D32"/>
              <w:right w:val="single" w:sz="10" w:color="2E7D32"/>
            </w:tcBorders>
          </w:tcPr>
          <w:p>
            <w:pPr>
              <w:keepNext w:val="0"/>
              <w:keepLines w:val="0"/>
              <w:spacing w:before="0" w:after="0" w:line="288" w:lineRule="auto"/>
              <w:jc w:val="center"/>
              <w:bidi w:val="1"/>
            </w:pPr>
            <w:r>
              <w:rPr>
                <w:rFonts w:ascii="Noto Naskh Arabic" w:hAnsi="Noto Naskh Arabic" w:eastAsia="Noto Naskh Arabic" w:cs="Noto Naskh Arabic"/>
                <w:b/>
                <w:i w:val="0"/>
                <w:color w:val="2E7D32"/>
                <w:sz w:val="22"/>
                <w:rtl w:val="1"/>
              </w:rPr>
              <w:t>رشد پایدار = سرمایه‌گذاری مولد + افزایش بهره‌وری + مشارکت نیروی کار + ادغام جهانی + اعتماد نهادی</w:t>
            </w:r>
          </w:p>
        </w:tc>
      </w:tr>
    </w:tbl>
    <w:p>
      <w:pPr>
        <w:spacing w:after="0"/>
        <w:widowControl w:val="1"/>
      </w:pPr>
    </w:p>
    <w:p>
      <w:pPr>
        <w:sectPr>
          <w:headerReference w:type="default" r:id="rId16"/>
          <w:footerReference w:type="default" r:id="rId17"/>
          <w:pgSz w:w="11906" w:h="16838"/>
          <w:pgMar w:top="935" w:right="992" w:bottom="879" w:left="992" w:header="369" w:footer="369" w:gutter="0"/>
          <w:cols w:space="720"/>
          <w:titlePg/>
          <w:docGrid w:linePitch="360"/>
          <w:vAlign w:val="center"/>
        </w:sectPr>
        <w:widowControl w:val="1"/>
      </w:pPr>
    </w:p>
    <w:p>
      <w:pPr>
        <w:pStyle w:val="Heading1"/>
        <w:keepNext/>
        <w:keepLines w:val="0"/>
        <w:spacing w:before="200" w:after="100" w:line="252" w:lineRule="auto"/>
        <w:jc w:val="right"/>
        <w:bidi w:val="1"/>
        <w:pBdr>
          <w:bottom w:val="single" w:sz="8" w:space="5" w:color="B8872E"/>
        </w:pBdr>
        <w:widowControl w:val="1"/>
      </w:pPr>
      <w:r>
        <w:rPr>
          <w:rFonts w:ascii="Noto Sans Arabic" w:hAnsi="Noto Sans Arabic" w:eastAsia="Noto Sans Arabic" w:cs="Noto Sans Arabic"/>
          <w:b/>
          <w:i w:val="0"/>
          <w:color w:val="17365D"/>
          <w:sz w:val="32"/>
          <w:rtl w:val="1"/>
        </w:rPr>
        <w:t>۵. تحلیل PESTEL-C ایران پس از گذار</w:t>
      </w:r>
    </w:p>
    <w:p>
      <w:pPr>
        <w:keepNext w:val="0"/>
        <w:keepLines w:val="0"/>
        <w:spacing w:before="0" w:after="120" w:line="300" w:lineRule="auto"/>
        <w:jc w:val="both"/>
        <w:bidi w:val="1"/>
        <w:widowControl w:val="1"/>
      </w:pPr>
      <w:r>
        <w:rPr>
          <w:rFonts w:ascii="Noto Naskh Arabic" w:hAnsi="Noto Naskh Arabic" w:eastAsia="Noto Naskh Arabic" w:cs="Noto Naskh Arabic"/>
          <w:b w:val="0"/>
          <w:i w:val="0"/>
          <w:color w:val="1F2937"/>
          <w:sz w:val="22"/>
          <w:rtl w:val="1"/>
        </w:rPr>
        <w:t>چارچوب PESTLE عوامل سیاسی، اقتصادی، اجتماعی، فناوری، زیست‌محیطی و حقوقی را می‌سنجد. برای سازگاری با مسئلهٔ ایران، بُعد فرهنگی نیز به‌عنوان C مستقل افزوده شده است. جدول زیر فرصت‌ها را در کنار شروط موفقیت و خطرهای شکست نشان می‌دهد. [۳، ۲۳]</w:t>
      </w:r>
    </w:p>
    <w:tbl>
      <w:tblPr>
        <w:tblW w:type="auto" w:w="0"/>
        <w:jc w:val="center"/>
        <w:tblLayout w:type="fixed"/>
        <w:tblLook w:firstColumn="1" w:firstRow="1" w:lastColumn="0" w:lastRow="0" w:noHBand="0" w:noVBand="1" w:val="04A0"/>
        <w:bidiVisual w:val="1"/>
        <w:tblBorders>
          <w:top w:val="single" w:sz="4" w:color="BFC7D1"/>
          <w:left w:val="single" w:sz="4" w:color="BFC7D1"/>
          <w:bottom w:val="single" w:sz="4" w:color="BFC7D1"/>
          <w:right w:val="single" w:sz="4" w:color="BFC7D1"/>
          <w:insideH w:val="single" w:sz="4" w:color="BFC7D1"/>
          <w:insideV w:val="single" w:sz="4" w:color="BFC7D1"/>
        </w:tblBorders>
      </w:tblPr>
      <w:tblGrid>
        <w:gridCol w:w="5235"/>
        <w:gridCol w:w="5235"/>
        <w:gridCol w:w="5235"/>
      </w:tblGrid>
      <w:tr>
        <w:trPr>
          <w:tblHeader w:val="true"/>
        </w:trPr>
        <w:tc>
          <w:tcPr>
            <w:tcW w:type="dxa" w:w="1814"/>
            <w:vAlign w:val="center"/>
            <w:tcMar>
              <w:top w:w="90" w:type="dxa"/>
              <w:start w:w="100" w:type="dxa"/>
              <w:bottom w:w="90" w:type="dxa"/>
              <w:end w:w="100" w:type="dxa"/>
            </w:tcMar>
            <w:shd w:fill="17365D"/>
          </w:tcPr>
          <w:p>
            <w:pPr>
              <w:keepNext w:val="0"/>
              <w:keepLines w:val="0"/>
              <w:spacing w:before="0" w:after="0" w:line="264" w:lineRule="auto"/>
              <w:jc w:val="center"/>
              <w:bidi w:val="1"/>
            </w:pPr>
            <w:r>
              <w:rPr>
                <w:rFonts w:ascii="Noto Sans Arabic" w:hAnsi="Noto Sans Arabic" w:eastAsia="Noto Sans Arabic" w:cs="Noto Sans Arabic"/>
                <w:b/>
                <w:i w:val="0"/>
                <w:color w:val="FFFFFF"/>
                <w:sz w:val="18"/>
              </w:rPr>
            </w:r>
            <w:r>
              <w:rPr>
                <w:rFonts w:ascii="Noto Sans Arabic" w:hAnsi="Noto Sans Arabic" w:eastAsia="Noto Sans Arabic" w:cs="Noto Sans Arabic"/>
                <w:b/>
                <w:i w:val="0"/>
                <w:color w:val="FFFFFF"/>
                <w:sz w:val="18"/>
                <w:rtl w:val="1"/>
              </w:rPr>
              <w:t>بُعد</w:t>
            </w:r>
          </w:p>
        </w:tc>
        <w:tc>
          <w:tcPr>
            <w:tcW w:type="dxa" w:w="6123"/>
            <w:vAlign w:val="center"/>
            <w:tcMar>
              <w:top w:w="90" w:type="dxa"/>
              <w:start w:w="100" w:type="dxa"/>
              <w:bottom w:w="90" w:type="dxa"/>
              <w:end w:w="100" w:type="dxa"/>
            </w:tcMar>
            <w:shd w:fill="17365D"/>
          </w:tcPr>
          <w:p>
            <w:pPr>
              <w:keepNext w:val="0"/>
              <w:keepLines w:val="0"/>
              <w:spacing w:before="0" w:after="0" w:line="264" w:lineRule="auto"/>
              <w:jc w:val="center"/>
              <w:bidi w:val="1"/>
            </w:pPr>
            <w:r>
              <w:rPr>
                <w:rFonts w:ascii="Noto Sans Arabic" w:hAnsi="Noto Sans Arabic" w:eastAsia="Noto Sans Arabic" w:cs="Noto Sans Arabic"/>
                <w:b/>
                <w:i w:val="0"/>
                <w:color w:val="FFFFFF"/>
                <w:sz w:val="18"/>
              </w:rPr>
            </w:r>
            <w:r>
              <w:rPr>
                <w:rFonts w:ascii="Noto Sans Arabic" w:hAnsi="Noto Sans Arabic" w:eastAsia="Noto Sans Arabic" w:cs="Noto Sans Arabic"/>
                <w:b/>
                <w:i w:val="0"/>
                <w:color w:val="FFFFFF"/>
                <w:sz w:val="18"/>
                <w:rtl w:val="1"/>
              </w:rPr>
              <w:t>فرصت ایران نوین</w:t>
            </w:r>
          </w:p>
        </w:tc>
        <w:tc>
          <w:tcPr>
            <w:tcW w:type="dxa" w:w="6123"/>
            <w:vAlign w:val="center"/>
            <w:tcMar>
              <w:top w:w="90" w:type="dxa"/>
              <w:start w:w="100" w:type="dxa"/>
              <w:bottom w:w="90" w:type="dxa"/>
              <w:end w:w="100" w:type="dxa"/>
            </w:tcMar>
            <w:shd w:fill="17365D"/>
          </w:tcPr>
          <w:p>
            <w:pPr>
              <w:keepNext w:val="0"/>
              <w:keepLines w:val="0"/>
              <w:spacing w:before="0" w:after="0" w:line="264" w:lineRule="auto"/>
              <w:jc w:val="center"/>
              <w:bidi w:val="1"/>
            </w:pPr>
            <w:r>
              <w:rPr>
                <w:rFonts w:ascii="Noto Sans Arabic" w:hAnsi="Noto Sans Arabic" w:eastAsia="Noto Sans Arabic" w:cs="Noto Sans Arabic"/>
                <w:b/>
                <w:i w:val="0"/>
                <w:color w:val="FFFFFF"/>
                <w:sz w:val="18"/>
              </w:rPr>
            </w:r>
            <w:r>
              <w:rPr>
                <w:rFonts w:ascii="Noto Sans Arabic" w:hAnsi="Noto Sans Arabic" w:eastAsia="Noto Sans Arabic" w:cs="Noto Sans Arabic"/>
                <w:b/>
                <w:i w:val="0"/>
                <w:color w:val="FFFFFF"/>
                <w:sz w:val="18"/>
                <w:rtl w:val="1"/>
              </w:rPr>
              <w:t>شرط موفقیت و خطر شکست</w:t>
            </w:r>
          </w:p>
        </w:tc>
      </w:tr>
      <w:tr>
        <w:tc>
          <w:tcPr>
            <w:tcW w:type="dxa" w:w="1814"/>
            <w:vAlign w:val="center"/>
            <w:tcMar>
              <w:top w:w="90" w:type="dxa"/>
              <w:start w:w="100" w:type="dxa"/>
              <w:bottom w:w="90" w:type="dxa"/>
              <w:end w:w="100" w:type="dxa"/>
            </w:tcMar>
            <w:shd w:fill="F8FAFC"/>
          </w:tcPr>
          <w:p>
            <w:pPr>
              <w:keepNext w:val="0"/>
              <w:keepLines w:val="0"/>
              <w:spacing w:before="0" w:after="0" w:line="264" w:lineRule="auto"/>
              <w:jc w:val="center"/>
              <w:bidi w:val="1"/>
            </w:pPr>
            <w:r/>
            <w:r>
              <w:rPr>
                <w:rFonts w:ascii="Noto Sans Arabic" w:hAnsi="Noto Sans Arabic" w:eastAsia="Noto Sans Arabic" w:cs="Noto Sans Arabic"/>
                <w:b/>
                <w:i w:val="0"/>
                <w:color w:val="1F4E79"/>
                <w:sz w:val="18"/>
                <w:rtl w:val="1"/>
              </w:rPr>
              <w:t>سیاسی</w:t>
            </w:r>
          </w:p>
        </w:tc>
        <w:tc>
          <w:tcPr>
            <w:tcW w:type="dxa" w:w="6123"/>
            <w:vAlign w:val="center"/>
            <w:tcMar>
              <w:top w:w="90" w:type="dxa"/>
              <w:start w:w="100" w:type="dxa"/>
              <w:bottom w:w="90" w:type="dxa"/>
              <w:end w:w="100" w:type="dxa"/>
            </w:tcMar>
            <w:shd w:fill="F8FAFC"/>
          </w:tcPr>
          <w:p>
            <w:pPr>
              <w:keepNext w:val="0"/>
              <w:keepLines w:val="0"/>
              <w:spacing w:before="0" w:after="0" w:line="264" w:lineRule="auto"/>
              <w:jc w:val="right"/>
              <w:bidi w:val="1"/>
            </w:pPr>
            <w:r/>
            <w:r>
              <w:rPr>
                <w:rFonts w:ascii="Noto Naskh Arabic" w:hAnsi="Noto Naskh Arabic" w:eastAsia="Noto Naskh Arabic" w:cs="Noto Naskh Arabic"/>
                <w:b w:val="0"/>
                <w:i w:val="0"/>
                <w:color w:val="1F2937"/>
                <w:sz w:val="17"/>
                <w:rtl w:val="1"/>
              </w:rPr>
              <w:t>رهبری کانونی شاهزاده، ائتلاف چندحزبی، پادشاهی پارلمانی و پایان حکومت ایدئولوژیک.</w:t>
            </w:r>
          </w:p>
        </w:tc>
        <w:tc>
          <w:tcPr>
            <w:tcW w:type="dxa" w:w="6123"/>
            <w:vAlign w:val="center"/>
            <w:tcMar>
              <w:top w:w="90" w:type="dxa"/>
              <w:start w:w="100" w:type="dxa"/>
              <w:bottom w:w="90" w:type="dxa"/>
              <w:end w:w="100" w:type="dxa"/>
            </w:tcMar>
            <w:shd w:fill="F8FAFC"/>
          </w:tcPr>
          <w:p>
            <w:pPr>
              <w:keepNext w:val="0"/>
              <w:keepLines w:val="0"/>
              <w:spacing w:before="0" w:after="0" w:line="264" w:lineRule="auto"/>
              <w:jc w:val="right"/>
              <w:bidi w:val="1"/>
            </w:pPr>
            <w:r/>
            <w:r>
              <w:rPr>
                <w:rFonts w:ascii="Noto Naskh Arabic" w:hAnsi="Noto Naskh Arabic" w:eastAsia="Noto Naskh Arabic" w:cs="Noto Naskh Arabic"/>
                <w:b w:val="0"/>
                <w:i w:val="0"/>
                <w:color w:val="1F2937"/>
                <w:sz w:val="17"/>
                <w:rtl w:val="1"/>
              </w:rPr>
              <w:t>مأموریت انتقالی باید محدود و پاسخ‌گو باشد. شخص‌پرستی، حذف جمهوری‌خواهان یا ایجاد نیروی مسلح حزبی می‌تواند گذار را منحرف کند.</w:t>
            </w:r>
          </w:p>
        </w:tc>
      </w:tr>
      <w:tr>
        <w:tc>
          <w:tcPr>
            <w:tcW w:type="dxa" w:w="1814"/>
            <w:vAlign w:val="center"/>
            <w:tcMar>
              <w:top w:w="90" w:type="dxa"/>
              <w:start w:w="100" w:type="dxa"/>
              <w:bottom w:w="90" w:type="dxa"/>
              <w:end w:w="100" w:type="dxa"/>
            </w:tcMar>
            <w:shd w:fill="FFFFFF"/>
          </w:tcPr>
          <w:p>
            <w:pPr>
              <w:keepNext w:val="0"/>
              <w:keepLines w:val="0"/>
              <w:spacing w:before="0" w:after="0" w:line="264" w:lineRule="auto"/>
              <w:jc w:val="center"/>
              <w:bidi w:val="1"/>
            </w:pPr>
            <w:r/>
            <w:r>
              <w:rPr>
                <w:rFonts w:ascii="Noto Sans Arabic" w:hAnsi="Noto Sans Arabic" w:eastAsia="Noto Sans Arabic" w:cs="Noto Sans Arabic"/>
                <w:b/>
                <w:i w:val="0"/>
                <w:color w:val="1F4E79"/>
                <w:sz w:val="18"/>
                <w:rtl w:val="1"/>
              </w:rPr>
              <w:t>اقتصادی</w:t>
            </w:r>
          </w:p>
        </w:tc>
        <w:tc>
          <w:tcPr>
            <w:tcW w:type="dxa" w:w="6123"/>
            <w:vAlign w:val="center"/>
            <w:tcMar>
              <w:top w:w="90" w:type="dxa"/>
              <w:start w:w="100" w:type="dxa"/>
              <w:bottom w:w="90" w:type="dxa"/>
              <w:end w:w="100" w:type="dxa"/>
            </w:tcMar>
            <w:shd w:fill="FFFFFF"/>
          </w:tcPr>
          <w:p>
            <w:pPr>
              <w:keepNext w:val="0"/>
              <w:keepLines w:val="0"/>
              <w:spacing w:before="0" w:after="0" w:line="264" w:lineRule="auto"/>
              <w:jc w:val="right"/>
              <w:bidi w:val="1"/>
            </w:pPr>
            <w:r/>
            <w:r>
              <w:rPr>
                <w:rFonts w:ascii="Noto Naskh Arabic" w:hAnsi="Noto Naskh Arabic" w:eastAsia="Noto Naskh Arabic" w:cs="Noto Naskh Arabic"/>
                <w:b w:val="0"/>
                <w:i w:val="0"/>
                <w:color w:val="1F2937"/>
                <w:sz w:val="17"/>
                <w:rtl w:val="1"/>
              </w:rPr>
              <w:t>رفع تدریجی تحریم‌ها، بازگشت به تجارت جهانی، نفت و گاز، گردشگری، ترانزیت و بازار بزرگ داخلی.</w:t>
            </w:r>
          </w:p>
        </w:tc>
        <w:tc>
          <w:tcPr>
            <w:tcW w:type="dxa" w:w="6123"/>
            <w:vAlign w:val="center"/>
            <w:tcMar>
              <w:top w:w="90" w:type="dxa"/>
              <w:start w:w="100" w:type="dxa"/>
              <w:bottom w:w="90" w:type="dxa"/>
              <w:end w:w="100" w:type="dxa"/>
            </w:tcMar>
            <w:shd w:fill="FFFFFF"/>
          </w:tcPr>
          <w:p>
            <w:pPr>
              <w:keepNext w:val="0"/>
              <w:keepLines w:val="0"/>
              <w:spacing w:before="0" w:after="0" w:line="264" w:lineRule="auto"/>
              <w:jc w:val="right"/>
              <w:bidi w:val="1"/>
            </w:pPr>
            <w:r/>
            <w:r>
              <w:rPr>
                <w:rFonts w:ascii="Noto Naskh Arabic" w:hAnsi="Noto Naskh Arabic" w:eastAsia="Noto Naskh Arabic" w:cs="Noto Naskh Arabic"/>
                <w:b w:val="0"/>
                <w:i w:val="0"/>
                <w:color w:val="1F2937"/>
                <w:sz w:val="17"/>
                <w:rtl w:val="1"/>
              </w:rPr>
              <w:t>استقلال بانک مرکزی، مهار کسری بودجه، اصلاح بانک‌ها و جلوگیری از خصوصی‌سازی رانتی ضروری است.</w:t>
            </w:r>
          </w:p>
        </w:tc>
      </w:tr>
      <w:tr>
        <w:tc>
          <w:tcPr>
            <w:tcW w:type="dxa" w:w="1814"/>
            <w:vAlign w:val="center"/>
            <w:tcMar>
              <w:top w:w="90" w:type="dxa"/>
              <w:start w:w="100" w:type="dxa"/>
              <w:bottom w:w="90" w:type="dxa"/>
              <w:end w:w="100" w:type="dxa"/>
            </w:tcMar>
            <w:shd w:fill="F8FAFC"/>
          </w:tcPr>
          <w:p>
            <w:pPr>
              <w:keepNext w:val="0"/>
              <w:keepLines w:val="0"/>
              <w:spacing w:before="0" w:after="0" w:line="264" w:lineRule="auto"/>
              <w:jc w:val="center"/>
              <w:bidi w:val="1"/>
            </w:pPr>
            <w:r/>
            <w:r>
              <w:rPr>
                <w:rFonts w:ascii="Noto Sans Arabic" w:hAnsi="Noto Sans Arabic" w:eastAsia="Noto Sans Arabic" w:cs="Noto Sans Arabic"/>
                <w:b/>
                <w:i w:val="0"/>
                <w:color w:val="1F4E79"/>
                <w:sz w:val="18"/>
                <w:rtl w:val="1"/>
              </w:rPr>
              <w:t>اجتماعی</w:t>
            </w:r>
          </w:p>
        </w:tc>
        <w:tc>
          <w:tcPr>
            <w:tcW w:type="dxa" w:w="6123"/>
            <w:vAlign w:val="center"/>
            <w:tcMar>
              <w:top w:w="90" w:type="dxa"/>
              <w:start w:w="100" w:type="dxa"/>
              <w:bottom w:w="90" w:type="dxa"/>
              <w:end w:w="100" w:type="dxa"/>
            </w:tcMar>
            <w:shd w:fill="F8FAFC"/>
          </w:tcPr>
          <w:p>
            <w:pPr>
              <w:keepNext w:val="0"/>
              <w:keepLines w:val="0"/>
              <w:spacing w:before="0" w:after="0" w:line="264" w:lineRule="auto"/>
              <w:jc w:val="right"/>
              <w:bidi w:val="1"/>
            </w:pPr>
            <w:r/>
            <w:r>
              <w:rPr>
                <w:rFonts w:ascii="Noto Naskh Arabic" w:hAnsi="Noto Naskh Arabic" w:eastAsia="Noto Naskh Arabic" w:cs="Noto Naskh Arabic"/>
                <w:b w:val="0"/>
                <w:i w:val="0"/>
                <w:color w:val="1F2937"/>
                <w:sz w:val="17"/>
                <w:rtl w:val="1"/>
              </w:rPr>
              <w:t>مشارکت زنان، طبقهٔ تحصیل‌کرده، شبکه‌های حرفه‌ای، جوانان و همکاری دیاسپورا.</w:t>
            </w:r>
          </w:p>
        </w:tc>
        <w:tc>
          <w:tcPr>
            <w:tcW w:type="dxa" w:w="6123"/>
            <w:vAlign w:val="center"/>
            <w:tcMar>
              <w:top w:w="90" w:type="dxa"/>
              <w:start w:w="100" w:type="dxa"/>
              <w:bottom w:w="90" w:type="dxa"/>
              <w:end w:w="100" w:type="dxa"/>
            </w:tcMar>
            <w:shd w:fill="F8FAFC"/>
          </w:tcPr>
          <w:p>
            <w:pPr>
              <w:keepNext w:val="0"/>
              <w:keepLines w:val="0"/>
              <w:spacing w:before="0" w:after="0" w:line="264" w:lineRule="auto"/>
              <w:jc w:val="right"/>
              <w:bidi w:val="1"/>
            </w:pPr>
            <w:r/>
            <w:r>
              <w:rPr>
                <w:rFonts w:ascii="Noto Naskh Arabic" w:hAnsi="Noto Naskh Arabic" w:eastAsia="Noto Naskh Arabic" w:cs="Noto Naskh Arabic"/>
                <w:b w:val="0"/>
                <w:i w:val="0"/>
                <w:color w:val="1F2937"/>
                <w:sz w:val="17"/>
                <w:rtl w:val="1"/>
              </w:rPr>
              <w:t>نابرابری، بیکاری، شوک قیمتی و انتقام جمعی می‌توانند اعتماد عمومی را نابود کنند.</w:t>
            </w:r>
          </w:p>
        </w:tc>
      </w:tr>
      <w:tr>
        <w:tc>
          <w:tcPr>
            <w:tcW w:type="dxa" w:w="1814"/>
            <w:vAlign w:val="center"/>
            <w:tcMar>
              <w:top w:w="90" w:type="dxa"/>
              <w:start w:w="100" w:type="dxa"/>
              <w:bottom w:w="90" w:type="dxa"/>
              <w:end w:w="100" w:type="dxa"/>
            </w:tcMar>
            <w:shd w:fill="FFFFFF"/>
          </w:tcPr>
          <w:p>
            <w:pPr>
              <w:keepNext w:val="0"/>
              <w:keepLines w:val="0"/>
              <w:spacing w:before="0" w:after="0" w:line="264" w:lineRule="auto"/>
              <w:jc w:val="center"/>
              <w:bidi w:val="1"/>
            </w:pPr>
            <w:r/>
            <w:r>
              <w:rPr>
                <w:rFonts w:ascii="Noto Sans Arabic" w:hAnsi="Noto Sans Arabic" w:eastAsia="Noto Sans Arabic" w:cs="Noto Sans Arabic"/>
                <w:b/>
                <w:i w:val="0"/>
                <w:color w:val="1F4E79"/>
                <w:sz w:val="18"/>
                <w:rtl w:val="1"/>
              </w:rPr>
              <w:t>فرهنگی</w:t>
            </w:r>
          </w:p>
        </w:tc>
        <w:tc>
          <w:tcPr>
            <w:tcW w:type="dxa" w:w="6123"/>
            <w:vAlign w:val="center"/>
            <w:tcMar>
              <w:top w:w="90" w:type="dxa"/>
              <w:start w:w="100" w:type="dxa"/>
              <w:bottom w:w="90" w:type="dxa"/>
              <w:end w:w="100" w:type="dxa"/>
            </w:tcMar>
            <w:shd w:fill="FFFFFF"/>
          </w:tcPr>
          <w:p>
            <w:pPr>
              <w:keepNext w:val="0"/>
              <w:keepLines w:val="0"/>
              <w:spacing w:before="0" w:after="0" w:line="264" w:lineRule="auto"/>
              <w:jc w:val="right"/>
              <w:bidi w:val="1"/>
            </w:pPr>
            <w:r/>
            <w:r>
              <w:rPr>
                <w:rFonts w:ascii="Noto Naskh Arabic" w:hAnsi="Noto Naskh Arabic" w:eastAsia="Noto Naskh Arabic" w:cs="Noto Naskh Arabic"/>
                <w:b w:val="0"/>
                <w:i w:val="0"/>
                <w:color w:val="1F2937"/>
                <w:sz w:val="17"/>
                <w:rtl w:val="1"/>
              </w:rPr>
              <w:t>ملی‌گرایی مدنی، آزادی هنر، دین و بی‌دینی، و احیای نمادهای مشترک در قالبی فراگیر.</w:t>
            </w:r>
          </w:p>
        </w:tc>
        <w:tc>
          <w:tcPr>
            <w:tcW w:type="dxa" w:w="6123"/>
            <w:vAlign w:val="center"/>
            <w:tcMar>
              <w:top w:w="90" w:type="dxa"/>
              <w:start w:w="100" w:type="dxa"/>
              <w:bottom w:w="90" w:type="dxa"/>
              <w:end w:w="100" w:type="dxa"/>
            </w:tcMar>
            <w:shd w:fill="FFFFFF"/>
          </w:tcPr>
          <w:p>
            <w:pPr>
              <w:keepNext w:val="0"/>
              <w:keepLines w:val="0"/>
              <w:spacing w:before="0" w:after="0" w:line="264" w:lineRule="auto"/>
              <w:jc w:val="right"/>
              <w:bidi w:val="1"/>
            </w:pPr>
            <w:r/>
            <w:r>
              <w:rPr>
                <w:rFonts w:ascii="Noto Naskh Arabic" w:hAnsi="Noto Naskh Arabic" w:eastAsia="Noto Naskh Arabic" w:cs="Noto Naskh Arabic"/>
                <w:b w:val="0"/>
                <w:i w:val="0"/>
                <w:color w:val="1F2937"/>
                <w:sz w:val="17"/>
                <w:rtl w:val="1"/>
              </w:rPr>
              <w:t>وطن‌دوستی نباید به برتری قومی، تحقیر زبان‌ها، حذف مذهبیان یا تقدیس بی‌انتقاد گذشته تبدیل شود.</w:t>
            </w:r>
          </w:p>
        </w:tc>
      </w:tr>
      <w:tr>
        <w:tc>
          <w:tcPr>
            <w:tcW w:type="dxa" w:w="1814"/>
            <w:vAlign w:val="center"/>
            <w:tcMar>
              <w:top w:w="90" w:type="dxa"/>
              <w:start w:w="100" w:type="dxa"/>
              <w:bottom w:w="90" w:type="dxa"/>
              <w:end w:w="100" w:type="dxa"/>
            </w:tcMar>
            <w:shd w:fill="F8FAFC"/>
          </w:tcPr>
          <w:p>
            <w:pPr>
              <w:keepNext w:val="0"/>
              <w:keepLines w:val="0"/>
              <w:spacing w:before="0" w:after="0" w:line="264" w:lineRule="auto"/>
              <w:jc w:val="center"/>
              <w:bidi w:val="1"/>
            </w:pPr>
            <w:r/>
            <w:r>
              <w:rPr>
                <w:rFonts w:ascii="Noto Sans Arabic" w:hAnsi="Noto Sans Arabic" w:eastAsia="Noto Sans Arabic" w:cs="Noto Sans Arabic"/>
                <w:b/>
                <w:i w:val="0"/>
                <w:color w:val="1F4E79"/>
                <w:sz w:val="18"/>
                <w:rtl w:val="1"/>
              </w:rPr>
              <w:t>فناوری</w:t>
            </w:r>
          </w:p>
        </w:tc>
        <w:tc>
          <w:tcPr>
            <w:tcW w:type="dxa" w:w="6123"/>
            <w:vAlign w:val="center"/>
            <w:tcMar>
              <w:top w:w="90" w:type="dxa"/>
              <w:start w:w="100" w:type="dxa"/>
              <w:bottom w:w="90" w:type="dxa"/>
              <w:end w:w="100" w:type="dxa"/>
            </w:tcMar>
            <w:shd w:fill="F8FAFC"/>
          </w:tcPr>
          <w:p>
            <w:pPr>
              <w:keepNext w:val="0"/>
              <w:keepLines w:val="0"/>
              <w:spacing w:before="0" w:after="0" w:line="264" w:lineRule="auto"/>
              <w:jc w:val="right"/>
              <w:bidi w:val="1"/>
            </w:pPr>
            <w:r/>
            <w:r>
              <w:rPr>
                <w:rFonts w:ascii="Noto Naskh Arabic" w:hAnsi="Noto Naskh Arabic" w:eastAsia="Noto Naskh Arabic" w:cs="Noto Naskh Arabic"/>
                <w:b w:val="0"/>
                <w:i w:val="0"/>
                <w:color w:val="1F2937"/>
                <w:sz w:val="17"/>
                <w:rtl w:val="1"/>
              </w:rPr>
              <w:t>هوش مصنوعی، پزشکی، مهندسی، انرژی پاک، صنایع معدنی پیشرفته، فناوری آب و دولت دیجیتال.</w:t>
            </w:r>
          </w:p>
        </w:tc>
        <w:tc>
          <w:tcPr>
            <w:tcW w:type="dxa" w:w="6123"/>
            <w:vAlign w:val="center"/>
            <w:tcMar>
              <w:top w:w="90" w:type="dxa"/>
              <w:start w:w="100" w:type="dxa"/>
              <w:bottom w:w="90" w:type="dxa"/>
              <w:end w:w="100" w:type="dxa"/>
            </w:tcMar>
            <w:shd w:fill="F8FAFC"/>
          </w:tcPr>
          <w:p>
            <w:pPr>
              <w:keepNext w:val="0"/>
              <w:keepLines w:val="0"/>
              <w:spacing w:before="0" w:after="0" w:line="264" w:lineRule="auto"/>
              <w:jc w:val="right"/>
              <w:bidi w:val="1"/>
            </w:pPr>
            <w:r/>
            <w:r>
              <w:rPr>
                <w:rFonts w:ascii="Noto Naskh Arabic" w:hAnsi="Noto Naskh Arabic" w:eastAsia="Noto Naskh Arabic" w:cs="Noto Naskh Arabic"/>
                <w:b w:val="0"/>
                <w:i w:val="0"/>
                <w:color w:val="1F2937"/>
                <w:sz w:val="17"/>
                <w:rtl w:val="1"/>
              </w:rPr>
              <w:t>انحصار داده، نظارت سیاسی، اینترنت محدود و مهاجرت دوبارهٔ متخصصان، اقتصاد دانش‌بنیان را عقیم می‌کند.</w:t>
            </w:r>
          </w:p>
        </w:tc>
      </w:tr>
      <w:tr>
        <w:tc>
          <w:tcPr>
            <w:tcW w:type="dxa" w:w="1814"/>
            <w:vAlign w:val="center"/>
            <w:tcMar>
              <w:top w:w="90" w:type="dxa"/>
              <w:start w:w="100" w:type="dxa"/>
              <w:bottom w:w="90" w:type="dxa"/>
              <w:end w:w="100" w:type="dxa"/>
            </w:tcMar>
            <w:shd w:fill="FFFFFF"/>
          </w:tcPr>
          <w:p>
            <w:pPr>
              <w:keepNext w:val="0"/>
              <w:keepLines w:val="0"/>
              <w:spacing w:before="0" w:after="0" w:line="264" w:lineRule="auto"/>
              <w:jc w:val="center"/>
              <w:bidi w:val="1"/>
            </w:pPr>
            <w:r/>
            <w:r>
              <w:rPr>
                <w:rFonts w:ascii="Noto Sans Arabic" w:hAnsi="Noto Sans Arabic" w:eastAsia="Noto Sans Arabic" w:cs="Noto Sans Arabic"/>
                <w:b/>
                <w:i w:val="0"/>
                <w:color w:val="1F4E79"/>
                <w:sz w:val="18"/>
                <w:rtl w:val="1"/>
              </w:rPr>
              <w:t>زیست‌محیطی</w:t>
            </w:r>
          </w:p>
        </w:tc>
        <w:tc>
          <w:tcPr>
            <w:tcW w:type="dxa" w:w="6123"/>
            <w:vAlign w:val="center"/>
            <w:tcMar>
              <w:top w:w="90" w:type="dxa"/>
              <w:start w:w="100" w:type="dxa"/>
              <w:bottom w:w="90" w:type="dxa"/>
              <w:end w:w="100" w:type="dxa"/>
            </w:tcMar>
            <w:shd w:fill="FFFFFF"/>
          </w:tcPr>
          <w:p>
            <w:pPr>
              <w:keepNext w:val="0"/>
              <w:keepLines w:val="0"/>
              <w:spacing w:before="0" w:after="0" w:line="264" w:lineRule="auto"/>
              <w:jc w:val="right"/>
              <w:bidi w:val="1"/>
            </w:pPr>
            <w:r/>
            <w:r>
              <w:rPr>
                <w:rFonts w:ascii="Noto Naskh Arabic" w:hAnsi="Noto Naskh Arabic" w:eastAsia="Noto Naskh Arabic" w:cs="Noto Naskh Arabic"/>
                <w:b w:val="0"/>
                <w:i w:val="0"/>
                <w:color w:val="1F2937"/>
                <w:sz w:val="17"/>
                <w:rtl w:val="1"/>
              </w:rPr>
              <w:t>آفتاب، باد، بهره‌وری انرژی، آبیاری هوشمند و بازسازی حوضه‌های آبریز.</w:t>
            </w:r>
          </w:p>
        </w:tc>
        <w:tc>
          <w:tcPr>
            <w:tcW w:type="dxa" w:w="6123"/>
            <w:vAlign w:val="center"/>
            <w:tcMar>
              <w:top w:w="90" w:type="dxa"/>
              <w:start w:w="100" w:type="dxa"/>
              <w:bottom w:w="90" w:type="dxa"/>
              <w:end w:w="100" w:type="dxa"/>
            </w:tcMar>
            <w:shd w:fill="FFFFFF"/>
          </w:tcPr>
          <w:p>
            <w:pPr>
              <w:keepNext w:val="0"/>
              <w:keepLines w:val="0"/>
              <w:spacing w:before="0" w:after="0" w:line="264" w:lineRule="auto"/>
              <w:jc w:val="right"/>
              <w:bidi w:val="1"/>
            </w:pPr>
            <w:r/>
            <w:r>
              <w:rPr>
                <w:rFonts w:ascii="Noto Naskh Arabic" w:hAnsi="Noto Naskh Arabic" w:eastAsia="Noto Naskh Arabic" w:cs="Noto Naskh Arabic"/>
                <w:b w:val="0"/>
                <w:i w:val="0"/>
                <w:color w:val="1F2937"/>
                <w:sz w:val="17"/>
                <w:rtl w:val="1"/>
              </w:rPr>
              <w:t>رونق نفتی بدون سیاست آب و اقلیم، فرونشست زمین و مهاجرت داخلی را تشدید خواهد کرد.</w:t>
            </w:r>
          </w:p>
        </w:tc>
      </w:tr>
      <w:tr>
        <w:tc>
          <w:tcPr>
            <w:tcW w:type="dxa" w:w="1814"/>
            <w:vAlign w:val="center"/>
            <w:tcMar>
              <w:top w:w="90" w:type="dxa"/>
              <w:start w:w="100" w:type="dxa"/>
              <w:bottom w:w="90" w:type="dxa"/>
              <w:end w:w="100" w:type="dxa"/>
            </w:tcMar>
            <w:shd w:fill="F8FAFC"/>
          </w:tcPr>
          <w:p>
            <w:pPr>
              <w:keepNext w:val="0"/>
              <w:keepLines w:val="0"/>
              <w:spacing w:before="0" w:after="0" w:line="264" w:lineRule="auto"/>
              <w:jc w:val="center"/>
              <w:bidi w:val="1"/>
            </w:pPr>
            <w:r/>
            <w:r>
              <w:rPr>
                <w:rFonts w:ascii="Noto Sans Arabic" w:hAnsi="Noto Sans Arabic" w:eastAsia="Noto Sans Arabic" w:cs="Noto Sans Arabic"/>
                <w:b/>
                <w:i w:val="0"/>
                <w:color w:val="1F4E79"/>
                <w:sz w:val="18"/>
                <w:rtl w:val="1"/>
              </w:rPr>
              <w:t>حقوقی و تقنینی</w:t>
            </w:r>
          </w:p>
        </w:tc>
        <w:tc>
          <w:tcPr>
            <w:tcW w:type="dxa" w:w="6123"/>
            <w:vAlign w:val="center"/>
            <w:tcMar>
              <w:top w:w="90" w:type="dxa"/>
              <w:start w:w="100" w:type="dxa"/>
              <w:bottom w:w="90" w:type="dxa"/>
              <w:end w:w="100" w:type="dxa"/>
            </w:tcMar>
            <w:shd w:fill="F8FAFC"/>
          </w:tcPr>
          <w:p>
            <w:pPr>
              <w:keepNext w:val="0"/>
              <w:keepLines w:val="0"/>
              <w:spacing w:before="0" w:after="0" w:line="264" w:lineRule="auto"/>
              <w:jc w:val="right"/>
              <w:bidi w:val="1"/>
            </w:pPr>
            <w:r/>
            <w:r>
              <w:rPr>
                <w:rFonts w:ascii="Noto Naskh Arabic" w:hAnsi="Noto Naskh Arabic" w:eastAsia="Noto Naskh Arabic" w:cs="Noto Naskh Arabic"/>
                <w:b w:val="0"/>
                <w:i w:val="0"/>
                <w:color w:val="1F2937"/>
                <w:sz w:val="17"/>
                <w:rtl w:val="1"/>
              </w:rPr>
              <w:t>قانون اساسی سکولار، قوهٔ قضاییه مستقل، امنیت قرارداد و مالکیت، قانون رقابت و مناقصات عمومی.</w:t>
            </w:r>
          </w:p>
        </w:tc>
        <w:tc>
          <w:tcPr>
            <w:tcW w:type="dxa" w:w="6123"/>
            <w:vAlign w:val="center"/>
            <w:tcMar>
              <w:top w:w="90" w:type="dxa"/>
              <w:start w:w="100" w:type="dxa"/>
              <w:bottom w:w="90" w:type="dxa"/>
              <w:end w:w="100" w:type="dxa"/>
            </w:tcMar>
            <w:shd w:fill="F8FAFC"/>
          </w:tcPr>
          <w:p>
            <w:pPr>
              <w:keepNext w:val="0"/>
              <w:keepLines w:val="0"/>
              <w:spacing w:before="0" w:after="0" w:line="264" w:lineRule="auto"/>
              <w:jc w:val="right"/>
              <w:bidi w:val="1"/>
            </w:pPr>
            <w:r/>
            <w:r>
              <w:rPr>
                <w:rFonts w:ascii="Noto Naskh Arabic" w:hAnsi="Noto Naskh Arabic" w:eastAsia="Noto Naskh Arabic" w:cs="Noto Naskh Arabic"/>
                <w:b w:val="0"/>
                <w:i w:val="0"/>
                <w:color w:val="1F2937"/>
                <w:sz w:val="17"/>
                <w:rtl w:val="1"/>
              </w:rPr>
              <w:t>حکومت با فرمان‌های استثنایی، مصادرهٔ بی‌ضابطه یا قراردادهای محرمانه دوباره اقتصاد رانتی را بازتولید می‌کند.</w:t>
            </w:r>
          </w:p>
        </w:tc>
      </w:tr>
    </w:tbl>
    <w:p>
      <w:pPr>
        <w:keepNext w:val="0"/>
        <w:keepLines w:val="0"/>
        <w:spacing w:before="60" w:after="140" w:line="240" w:lineRule="auto"/>
        <w:jc w:val="center"/>
        <w:bidi w:val="1"/>
        <w:widowControl w:val="1"/>
      </w:pPr>
      <w:r>
        <w:rPr>
          <w:rFonts w:ascii="Noto Naskh Arabic" w:hAnsi="Noto Naskh Arabic" w:eastAsia="Noto Naskh Arabic" w:cs="Noto Naskh Arabic"/>
          <w:b w:val="0"/>
          <w:i/>
          <w:color w:val="6B7280"/>
          <w:sz w:val="18"/>
          <w:rtl w:val="1"/>
        </w:rPr>
        <w:t>جدول ۱. تحلیل PESTEL-C سناریوی ایران پس از گذار.</w:t>
      </w:r>
    </w:p>
    <w:p>
      <w:pPr>
        <w:pStyle w:val="Heading1"/>
        <w:keepNext/>
        <w:keepLines w:val="0"/>
        <w:spacing w:before="200" w:after="100" w:line="252" w:lineRule="auto"/>
        <w:jc w:val="right"/>
        <w:bidi w:val="1"/>
        <w:pBdr>
          <w:bottom w:val="single" w:sz="8" w:space="5" w:color="B8872E"/>
        </w:pBdr>
        <w:widowControl w:val="1"/>
      </w:pPr>
      <w:r>
        <w:rPr>
          <w:rFonts w:ascii="Noto Sans Arabic" w:hAnsi="Noto Sans Arabic" w:eastAsia="Noto Sans Arabic" w:cs="Noto Sans Arabic"/>
          <w:b/>
          <w:i w:val="0"/>
          <w:color w:val="17365D"/>
          <w:sz w:val="32"/>
          <w:rtl w:val="1"/>
        </w:rPr>
        <w:t>۶. تحلیل میدان نیروهای کورت لوین</w:t>
      </w:r>
    </w:p>
    <w:p>
      <w:pPr>
        <w:keepNext w:val="0"/>
        <w:keepLines w:val="0"/>
        <w:spacing w:before="0" w:after="120" w:line="300" w:lineRule="auto"/>
        <w:jc w:val="both"/>
        <w:bidi w:val="1"/>
        <w:widowControl w:val="1"/>
      </w:pPr>
      <w:r>
        <w:rPr>
          <w:rFonts w:ascii="Noto Naskh Arabic" w:hAnsi="Noto Naskh Arabic" w:eastAsia="Noto Naskh Arabic" w:cs="Noto Naskh Arabic"/>
          <w:b w:val="0"/>
          <w:i w:val="0"/>
          <w:color w:val="1F2937"/>
          <w:sz w:val="22"/>
          <w:rtl w:val="1"/>
        </w:rPr>
        <w:t>تحلیل میدان نیروها تغییر را حاصل کشاکش میان نیروهای محرک و بازدارنده می‌داند. امتیازهای ۱ تا ۵ در جدول زیر سناریویی و تفسیری‌اند؛ دادهٔ آماری یا پیش‌بینی انتخاباتی نیستند. [۲، ۲۴]</w:t>
      </w:r>
    </w:p>
    <w:tbl>
      <w:tblPr>
        <w:tblW w:type="auto" w:w="0"/>
        <w:jc w:val="center"/>
        <w:tblLayout w:type="fixed"/>
        <w:tblLook w:firstColumn="1" w:firstRow="1" w:lastColumn="0" w:lastRow="0" w:noHBand="0" w:noVBand="1" w:val="04A0"/>
        <w:bidiVisual w:val="1"/>
        <w:tblBorders>
          <w:top w:val="single" w:sz="4" w:color="BFC7D1"/>
          <w:left w:val="single" w:sz="4" w:color="BFC7D1"/>
          <w:bottom w:val="single" w:sz="4" w:color="BFC7D1"/>
          <w:right w:val="single" w:sz="4" w:color="BFC7D1"/>
          <w:insideH w:val="single" w:sz="4" w:color="BFC7D1"/>
          <w:insideV w:val="single" w:sz="4" w:color="BFC7D1"/>
        </w:tblBorders>
      </w:tblPr>
      <w:tblGrid>
        <w:gridCol w:w="3926"/>
        <w:gridCol w:w="3926"/>
        <w:gridCol w:w="3926"/>
        <w:gridCol w:w="3926"/>
      </w:tblGrid>
      <w:tr>
        <w:trPr>
          <w:tblHeader w:val="true"/>
        </w:trPr>
        <w:tc>
          <w:tcPr>
            <w:tcW w:type="dxa" w:w="6009"/>
            <w:vAlign w:val="center"/>
            <w:tcMar>
              <w:top w:w="90" w:type="dxa"/>
              <w:start w:w="100" w:type="dxa"/>
              <w:bottom w:w="90" w:type="dxa"/>
              <w:end w:w="100" w:type="dxa"/>
            </w:tcMar>
            <w:shd w:fill="17365D"/>
          </w:tcPr>
          <w:p>
            <w:pPr>
              <w:keepNext w:val="0"/>
              <w:keepLines w:val="0"/>
              <w:spacing w:before="0" w:after="0" w:line="264" w:lineRule="auto"/>
              <w:jc w:val="center"/>
              <w:bidi w:val="1"/>
            </w:pPr>
            <w:r>
              <w:rPr>
                <w:rFonts w:ascii="Noto Sans Arabic" w:hAnsi="Noto Sans Arabic" w:eastAsia="Noto Sans Arabic" w:cs="Noto Sans Arabic"/>
                <w:b/>
                <w:i w:val="0"/>
                <w:color w:val="FFFFFF"/>
                <w:sz w:val="18"/>
              </w:rPr>
            </w:r>
            <w:r>
              <w:rPr>
                <w:rFonts w:ascii="Noto Sans Arabic" w:hAnsi="Noto Sans Arabic" w:eastAsia="Noto Sans Arabic" w:cs="Noto Sans Arabic"/>
                <w:b/>
                <w:i w:val="0"/>
                <w:color w:val="FFFFFF"/>
                <w:sz w:val="18"/>
                <w:rtl w:val="1"/>
              </w:rPr>
              <w:t>نیروی محرک تغییر</w:t>
            </w:r>
          </w:p>
        </w:tc>
        <w:tc>
          <w:tcPr>
            <w:tcW w:type="dxa" w:w="1134"/>
            <w:vAlign w:val="center"/>
            <w:tcMar>
              <w:top w:w="90" w:type="dxa"/>
              <w:start w:w="100" w:type="dxa"/>
              <w:bottom w:w="90" w:type="dxa"/>
              <w:end w:w="100" w:type="dxa"/>
            </w:tcMar>
            <w:shd w:fill="17365D"/>
          </w:tcPr>
          <w:p>
            <w:pPr>
              <w:keepNext w:val="0"/>
              <w:keepLines w:val="0"/>
              <w:spacing w:before="0" w:after="0" w:line="264" w:lineRule="auto"/>
              <w:jc w:val="center"/>
              <w:bidi w:val="1"/>
            </w:pPr>
            <w:r>
              <w:rPr>
                <w:rFonts w:ascii="Noto Sans Arabic" w:hAnsi="Noto Sans Arabic" w:eastAsia="Noto Sans Arabic" w:cs="Noto Sans Arabic"/>
                <w:b/>
                <w:i w:val="0"/>
                <w:color w:val="FFFFFF"/>
                <w:sz w:val="18"/>
              </w:rPr>
            </w:r>
            <w:r>
              <w:rPr>
                <w:rFonts w:ascii="Noto Sans Arabic" w:hAnsi="Noto Sans Arabic" w:eastAsia="Noto Sans Arabic" w:cs="Noto Sans Arabic"/>
                <w:b/>
                <w:i w:val="0"/>
                <w:color w:val="FFFFFF"/>
                <w:sz w:val="18"/>
                <w:rtl w:val="1"/>
              </w:rPr>
              <w:t>شدت</w:t>
            </w:r>
          </w:p>
        </w:tc>
        <w:tc>
          <w:tcPr>
            <w:tcW w:type="dxa" w:w="6009"/>
            <w:vAlign w:val="center"/>
            <w:tcMar>
              <w:top w:w="90" w:type="dxa"/>
              <w:start w:w="100" w:type="dxa"/>
              <w:bottom w:w="90" w:type="dxa"/>
              <w:end w:w="100" w:type="dxa"/>
            </w:tcMar>
            <w:shd w:fill="17365D"/>
          </w:tcPr>
          <w:p>
            <w:pPr>
              <w:keepNext w:val="0"/>
              <w:keepLines w:val="0"/>
              <w:spacing w:before="0" w:after="0" w:line="264" w:lineRule="auto"/>
              <w:jc w:val="center"/>
              <w:bidi w:val="1"/>
            </w:pPr>
            <w:r>
              <w:rPr>
                <w:rFonts w:ascii="Noto Sans Arabic" w:hAnsi="Noto Sans Arabic" w:eastAsia="Noto Sans Arabic" w:cs="Noto Sans Arabic"/>
                <w:b/>
                <w:i w:val="0"/>
                <w:color w:val="FFFFFF"/>
                <w:sz w:val="18"/>
              </w:rPr>
            </w:r>
            <w:r>
              <w:rPr>
                <w:rFonts w:ascii="Noto Sans Arabic" w:hAnsi="Noto Sans Arabic" w:eastAsia="Noto Sans Arabic" w:cs="Noto Sans Arabic"/>
                <w:b/>
                <w:i w:val="0"/>
                <w:color w:val="FFFFFF"/>
                <w:sz w:val="18"/>
                <w:rtl w:val="1"/>
              </w:rPr>
              <w:t>نیروی بازدارنده</w:t>
            </w:r>
          </w:p>
        </w:tc>
        <w:tc>
          <w:tcPr>
            <w:tcW w:type="dxa" w:w="1134"/>
            <w:vAlign w:val="center"/>
            <w:tcMar>
              <w:top w:w="90" w:type="dxa"/>
              <w:start w:w="100" w:type="dxa"/>
              <w:bottom w:w="90" w:type="dxa"/>
              <w:end w:w="100" w:type="dxa"/>
            </w:tcMar>
            <w:shd w:fill="17365D"/>
          </w:tcPr>
          <w:p>
            <w:pPr>
              <w:keepNext w:val="0"/>
              <w:keepLines w:val="0"/>
              <w:spacing w:before="0" w:after="0" w:line="264" w:lineRule="auto"/>
              <w:jc w:val="center"/>
              <w:bidi w:val="1"/>
            </w:pPr>
            <w:r>
              <w:rPr>
                <w:rFonts w:ascii="Noto Sans Arabic" w:hAnsi="Noto Sans Arabic" w:eastAsia="Noto Sans Arabic" w:cs="Noto Sans Arabic"/>
                <w:b/>
                <w:i w:val="0"/>
                <w:color w:val="FFFFFF"/>
                <w:sz w:val="18"/>
              </w:rPr>
            </w:r>
            <w:r>
              <w:rPr>
                <w:rFonts w:ascii="Noto Sans Arabic" w:hAnsi="Noto Sans Arabic" w:eastAsia="Noto Sans Arabic" w:cs="Noto Sans Arabic"/>
                <w:b/>
                <w:i w:val="0"/>
                <w:color w:val="FFFFFF"/>
                <w:sz w:val="18"/>
                <w:rtl w:val="1"/>
              </w:rPr>
              <w:t>شدت</w:t>
            </w:r>
          </w:p>
        </w:tc>
      </w:tr>
      <w:tr>
        <w:tc>
          <w:tcPr>
            <w:tcW w:type="dxa" w:w="6009"/>
            <w:vAlign w:val="center"/>
            <w:tcMar>
              <w:top w:w="90" w:type="dxa"/>
              <w:start w:w="100" w:type="dxa"/>
              <w:bottom w:w="90" w:type="dxa"/>
              <w:end w:w="100" w:type="dxa"/>
            </w:tcMar>
            <w:shd w:fill="F8FAFC"/>
          </w:tcPr>
          <w:p>
            <w:pPr>
              <w:keepNext w:val="0"/>
              <w:keepLines w:val="0"/>
              <w:spacing w:before="0" w:after="0" w:line="264" w:lineRule="auto"/>
              <w:jc w:val="right"/>
              <w:bidi w:val="1"/>
            </w:pPr>
            <w:r/>
            <w:r>
              <w:rPr>
                <w:rFonts w:ascii="Noto Naskh Arabic" w:hAnsi="Noto Naskh Arabic" w:eastAsia="Noto Naskh Arabic" w:cs="Noto Naskh Arabic"/>
                <w:b w:val="0"/>
                <w:i w:val="0"/>
                <w:color w:val="1F2937"/>
                <w:sz w:val="17"/>
                <w:rtl w:val="1"/>
              </w:rPr>
              <w:t>نارضایتی گسترده و گرایش به تغییر بنیادی</w:t>
            </w:r>
          </w:p>
        </w:tc>
        <w:tc>
          <w:tcPr>
            <w:tcW w:type="dxa" w:w="1134"/>
            <w:vAlign w:val="center"/>
            <w:tcMar>
              <w:top w:w="90" w:type="dxa"/>
              <w:start w:w="100" w:type="dxa"/>
              <w:bottom w:w="90" w:type="dxa"/>
              <w:end w:w="100" w:type="dxa"/>
            </w:tcMar>
            <w:shd w:fill="F8FAFC"/>
          </w:tcPr>
          <w:p>
            <w:pPr>
              <w:keepNext w:val="0"/>
              <w:keepLines w:val="0"/>
              <w:spacing w:before="0" w:after="0" w:line="264" w:lineRule="auto"/>
              <w:jc w:val="center"/>
              <w:bidi w:val="1"/>
            </w:pPr>
            <w:r/>
            <w:r>
              <w:rPr>
                <w:rFonts w:ascii="Noto Naskh Arabic" w:hAnsi="Noto Naskh Arabic" w:eastAsia="Noto Naskh Arabic" w:cs="Noto Naskh Arabic"/>
                <w:b/>
                <w:i w:val="0"/>
                <w:color w:val="1F2937"/>
                <w:sz w:val="17"/>
                <w:rtl w:val="1"/>
              </w:rPr>
              <w:t>۵</w:t>
            </w:r>
          </w:p>
        </w:tc>
        <w:tc>
          <w:tcPr>
            <w:tcW w:type="dxa" w:w="6009"/>
            <w:vAlign w:val="center"/>
            <w:tcMar>
              <w:top w:w="90" w:type="dxa"/>
              <w:start w:w="100" w:type="dxa"/>
              <w:bottom w:w="90" w:type="dxa"/>
              <w:end w:w="100" w:type="dxa"/>
            </w:tcMar>
            <w:shd w:fill="F8FAFC"/>
          </w:tcPr>
          <w:p>
            <w:pPr>
              <w:keepNext w:val="0"/>
              <w:keepLines w:val="0"/>
              <w:spacing w:before="0" w:after="0" w:line="264" w:lineRule="auto"/>
              <w:jc w:val="right"/>
              <w:bidi w:val="1"/>
            </w:pPr>
            <w:r/>
            <w:r>
              <w:rPr>
                <w:rFonts w:ascii="Noto Naskh Arabic" w:hAnsi="Noto Naskh Arabic" w:eastAsia="Noto Naskh Arabic" w:cs="Noto Naskh Arabic"/>
                <w:b w:val="0"/>
                <w:i w:val="0"/>
                <w:color w:val="1F2937"/>
                <w:sz w:val="17"/>
                <w:rtl w:val="1"/>
              </w:rPr>
              <w:t>جنگ، تلفات غیرنظامی و تخریب زیرساخت</w:t>
            </w:r>
          </w:p>
        </w:tc>
        <w:tc>
          <w:tcPr>
            <w:tcW w:type="dxa" w:w="1134"/>
            <w:vAlign w:val="center"/>
            <w:tcMar>
              <w:top w:w="90" w:type="dxa"/>
              <w:start w:w="100" w:type="dxa"/>
              <w:bottom w:w="90" w:type="dxa"/>
              <w:end w:w="100" w:type="dxa"/>
            </w:tcMar>
            <w:shd w:fill="F8FAFC"/>
          </w:tcPr>
          <w:p>
            <w:pPr>
              <w:keepNext w:val="0"/>
              <w:keepLines w:val="0"/>
              <w:spacing w:before="0" w:after="0" w:line="264" w:lineRule="auto"/>
              <w:jc w:val="center"/>
              <w:bidi w:val="1"/>
            </w:pPr>
            <w:r/>
            <w:r>
              <w:rPr>
                <w:rFonts w:ascii="Noto Naskh Arabic" w:hAnsi="Noto Naskh Arabic" w:eastAsia="Noto Naskh Arabic" w:cs="Noto Naskh Arabic"/>
                <w:b/>
                <w:i w:val="0"/>
                <w:color w:val="1F2937"/>
                <w:sz w:val="17"/>
                <w:rtl w:val="1"/>
              </w:rPr>
              <w:t>۵</w:t>
            </w:r>
          </w:p>
        </w:tc>
      </w:tr>
      <w:tr>
        <w:tc>
          <w:tcPr>
            <w:tcW w:type="dxa" w:w="6009"/>
            <w:vAlign w:val="center"/>
            <w:tcMar>
              <w:top w:w="90" w:type="dxa"/>
              <w:start w:w="100" w:type="dxa"/>
              <w:bottom w:w="90" w:type="dxa"/>
              <w:end w:w="100" w:type="dxa"/>
            </w:tcMar>
            <w:shd w:fill="FFFFFF"/>
          </w:tcPr>
          <w:p>
            <w:pPr>
              <w:keepNext w:val="0"/>
              <w:keepLines w:val="0"/>
              <w:spacing w:before="0" w:after="0" w:line="264" w:lineRule="auto"/>
              <w:jc w:val="right"/>
              <w:bidi w:val="1"/>
            </w:pPr>
            <w:r/>
            <w:r>
              <w:rPr>
                <w:rFonts w:ascii="Noto Naskh Arabic" w:hAnsi="Noto Naskh Arabic" w:eastAsia="Noto Naskh Arabic" w:cs="Noto Naskh Arabic"/>
                <w:b w:val="0"/>
                <w:i w:val="0"/>
                <w:color w:val="1F2937"/>
                <w:sz w:val="17"/>
                <w:rtl w:val="1"/>
              </w:rPr>
              <w:t>سرمایهٔ نمادین و شناخته‌شدگی شاهزاده رضا پهلوی</w:t>
            </w:r>
          </w:p>
        </w:tc>
        <w:tc>
          <w:tcPr>
            <w:tcW w:type="dxa" w:w="1134"/>
            <w:vAlign w:val="center"/>
            <w:tcMar>
              <w:top w:w="90" w:type="dxa"/>
              <w:start w:w="100" w:type="dxa"/>
              <w:bottom w:w="90" w:type="dxa"/>
              <w:end w:w="100" w:type="dxa"/>
            </w:tcMar>
            <w:shd w:fill="FFFFFF"/>
          </w:tcPr>
          <w:p>
            <w:pPr>
              <w:keepNext w:val="0"/>
              <w:keepLines w:val="0"/>
              <w:spacing w:before="0" w:after="0" w:line="264" w:lineRule="auto"/>
              <w:jc w:val="center"/>
              <w:bidi w:val="1"/>
            </w:pPr>
            <w:r/>
            <w:r>
              <w:rPr>
                <w:rFonts w:ascii="Noto Naskh Arabic" w:hAnsi="Noto Naskh Arabic" w:eastAsia="Noto Naskh Arabic" w:cs="Noto Naskh Arabic"/>
                <w:b/>
                <w:i w:val="0"/>
                <w:color w:val="1F2937"/>
                <w:sz w:val="17"/>
                <w:rtl w:val="1"/>
              </w:rPr>
              <w:t>۴</w:t>
            </w:r>
          </w:p>
        </w:tc>
        <w:tc>
          <w:tcPr>
            <w:tcW w:type="dxa" w:w="6009"/>
            <w:vAlign w:val="center"/>
            <w:tcMar>
              <w:top w:w="90" w:type="dxa"/>
              <w:start w:w="100" w:type="dxa"/>
              <w:bottom w:w="90" w:type="dxa"/>
              <w:end w:w="100" w:type="dxa"/>
            </w:tcMar>
            <w:shd w:fill="FFFFFF"/>
          </w:tcPr>
          <w:p>
            <w:pPr>
              <w:keepNext w:val="0"/>
              <w:keepLines w:val="0"/>
              <w:spacing w:before="0" w:after="0" w:line="264" w:lineRule="auto"/>
              <w:jc w:val="right"/>
              <w:bidi w:val="1"/>
            </w:pPr>
            <w:r/>
            <w:r>
              <w:rPr>
                <w:rFonts w:ascii="Noto Naskh Arabic" w:hAnsi="Noto Naskh Arabic" w:eastAsia="Noto Naskh Arabic" w:cs="Noto Naskh Arabic"/>
                <w:b w:val="0"/>
                <w:i w:val="0"/>
                <w:color w:val="1F2937"/>
                <w:sz w:val="17"/>
                <w:rtl w:val="1"/>
              </w:rPr>
              <w:t>نبود اجماع کامل و بی‌اعتمادی میان گروه‌های اپوزیسیون</w:t>
            </w:r>
          </w:p>
        </w:tc>
        <w:tc>
          <w:tcPr>
            <w:tcW w:type="dxa" w:w="1134"/>
            <w:vAlign w:val="center"/>
            <w:tcMar>
              <w:top w:w="90" w:type="dxa"/>
              <w:start w:w="100" w:type="dxa"/>
              <w:bottom w:w="90" w:type="dxa"/>
              <w:end w:w="100" w:type="dxa"/>
            </w:tcMar>
            <w:shd w:fill="FFFFFF"/>
          </w:tcPr>
          <w:p>
            <w:pPr>
              <w:keepNext w:val="0"/>
              <w:keepLines w:val="0"/>
              <w:spacing w:before="0" w:after="0" w:line="264" w:lineRule="auto"/>
              <w:jc w:val="center"/>
              <w:bidi w:val="1"/>
            </w:pPr>
            <w:r/>
            <w:r>
              <w:rPr>
                <w:rFonts w:ascii="Noto Naskh Arabic" w:hAnsi="Noto Naskh Arabic" w:eastAsia="Noto Naskh Arabic" w:cs="Noto Naskh Arabic"/>
                <w:b/>
                <w:i w:val="0"/>
                <w:color w:val="1F2937"/>
                <w:sz w:val="17"/>
                <w:rtl w:val="1"/>
              </w:rPr>
              <w:t>۴</w:t>
            </w:r>
          </w:p>
        </w:tc>
      </w:tr>
      <w:tr>
        <w:tc>
          <w:tcPr>
            <w:tcW w:type="dxa" w:w="6009"/>
            <w:vAlign w:val="center"/>
            <w:tcMar>
              <w:top w:w="90" w:type="dxa"/>
              <w:start w:w="100" w:type="dxa"/>
              <w:bottom w:w="90" w:type="dxa"/>
              <w:end w:w="100" w:type="dxa"/>
            </w:tcMar>
            <w:shd w:fill="F8FAFC"/>
          </w:tcPr>
          <w:p>
            <w:pPr>
              <w:keepNext w:val="0"/>
              <w:keepLines w:val="0"/>
              <w:spacing w:before="0" w:after="0" w:line="264" w:lineRule="auto"/>
              <w:jc w:val="right"/>
              <w:bidi w:val="1"/>
            </w:pPr>
            <w:r/>
            <w:r>
              <w:rPr>
                <w:rFonts w:ascii="Noto Naskh Arabic" w:hAnsi="Noto Naskh Arabic" w:eastAsia="Noto Naskh Arabic" w:cs="Noto Naskh Arabic"/>
                <w:b w:val="0"/>
                <w:i w:val="0"/>
                <w:color w:val="1F2937"/>
                <w:sz w:val="17"/>
                <w:rtl w:val="1"/>
              </w:rPr>
              <w:t>سرمایهٔ انسانی، سواد، دانشگاه‌ها و حضور فعال زنان</w:t>
            </w:r>
          </w:p>
        </w:tc>
        <w:tc>
          <w:tcPr>
            <w:tcW w:type="dxa" w:w="1134"/>
            <w:vAlign w:val="center"/>
            <w:tcMar>
              <w:top w:w="90" w:type="dxa"/>
              <w:start w:w="100" w:type="dxa"/>
              <w:bottom w:w="90" w:type="dxa"/>
              <w:end w:w="100" w:type="dxa"/>
            </w:tcMar>
            <w:shd w:fill="F8FAFC"/>
          </w:tcPr>
          <w:p>
            <w:pPr>
              <w:keepNext w:val="0"/>
              <w:keepLines w:val="0"/>
              <w:spacing w:before="0" w:after="0" w:line="264" w:lineRule="auto"/>
              <w:jc w:val="center"/>
              <w:bidi w:val="1"/>
            </w:pPr>
            <w:r/>
            <w:r>
              <w:rPr>
                <w:rFonts w:ascii="Noto Naskh Arabic" w:hAnsi="Noto Naskh Arabic" w:eastAsia="Noto Naskh Arabic" w:cs="Noto Naskh Arabic"/>
                <w:b/>
                <w:i w:val="0"/>
                <w:color w:val="1F2937"/>
                <w:sz w:val="17"/>
                <w:rtl w:val="1"/>
              </w:rPr>
              <w:t>۴</w:t>
            </w:r>
          </w:p>
        </w:tc>
        <w:tc>
          <w:tcPr>
            <w:tcW w:type="dxa" w:w="6009"/>
            <w:vAlign w:val="center"/>
            <w:tcMar>
              <w:top w:w="90" w:type="dxa"/>
              <w:start w:w="100" w:type="dxa"/>
              <w:bottom w:w="90" w:type="dxa"/>
              <w:end w:w="100" w:type="dxa"/>
            </w:tcMar>
            <w:shd w:fill="F8FAFC"/>
          </w:tcPr>
          <w:p>
            <w:pPr>
              <w:keepNext w:val="0"/>
              <w:keepLines w:val="0"/>
              <w:spacing w:before="0" w:after="0" w:line="264" w:lineRule="auto"/>
              <w:jc w:val="right"/>
              <w:bidi w:val="1"/>
            </w:pPr>
            <w:r/>
            <w:r>
              <w:rPr>
                <w:rFonts w:ascii="Noto Naskh Arabic" w:hAnsi="Noto Naskh Arabic" w:eastAsia="Noto Naskh Arabic" w:cs="Noto Naskh Arabic"/>
                <w:b w:val="0"/>
                <w:i w:val="0"/>
                <w:color w:val="1F2937"/>
                <w:sz w:val="17"/>
                <w:rtl w:val="1"/>
              </w:rPr>
              <w:t>تورم، بحران بانک‌ها، سقوط پول و فقر</w:t>
            </w:r>
          </w:p>
        </w:tc>
        <w:tc>
          <w:tcPr>
            <w:tcW w:type="dxa" w:w="1134"/>
            <w:vAlign w:val="center"/>
            <w:tcMar>
              <w:top w:w="90" w:type="dxa"/>
              <w:start w:w="100" w:type="dxa"/>
              <w:bottom w:w="90" w:type="dxa"/>
              <w:end w:w="100" w:type="dxa"/>
            </w:tcMar>
            <w:shd w:fill="F8FAFC"/>
          </w:tcPr>
          <w:p>
            <w:pPr>
              <w:keepNext w:val="0"/>
              <w:keepLines w:val="0"/>
              <w:spacing w:before="0" w:after="0" w:line="264" w:lineRule="auto"/>
              <w:jc w:val="center"/>
              <w:bidi w:val="1"/>
            </w:pPr>
            <w:r/>
            <w:r>
              <w:rPr>
                <w:rFonts w:ascii="Noto Naskh Arabic" w:hAnsi="Noto Naskh Arabic" w:eastAsia="Noto Naskh Arabic" w:cs="Noto Naskh Arabic"/>
                <w:b/>
                <w:i w:val="0"/>
                <w:color w:val="1F2937"/>
                <w:sz w:val="17"/>
                <w:rtl w:val="1"/>
              </w:rPr>
              <w:t>۵</w:t>
            </w:r>
          </w:p>
        </w:tc>
      </w:tr>
      <w:tr>
        <w:tc>
          <w:tcPr>
            <w:tcW w:type="dxa" w:w="6009"/>
            <w:vAlign w:val="center"/>
            <w:tcMar>
              <w:top w:w="90" w:type="dxa"/>
              <w:start w:w="100" w:type="dxa"/>
              <w:bottom w:w="90" w:type="dxa"/>
              <w:end w:w="100" w:type="dxa"/>
            </w:tcMar>
            <w:shd w:fill="FFFFFF"/>
          </w:tcPr>
          <w:p>
            <w:pPr>
              <w:keepNext w:val="0"/>
              <w:keepLines w:val="0"/>
              <w:spacing w:before="0" w:after="0" w:line="264" w:lineRule="auto"/>
              <w:jc w:val="right"/>
              <w:bidi w:val="1"/>
            </w:pPr>
            <w:r/>
            <w:r>
              <w:rPr>
                <w:rFonts w:ascii="Noto Naskh Arabic" w:hAnsi="Noto Naskh Arabic" w:eastAsia="Noto Naskh Arabic" w:cs="Noto Naskh Arabic"/>
                <w:b w:val="0"/>
                <w:i w:val="0"/>
                <w:color w:val="1F2937"/>
                <w:sz w:val="17"/>
                <w:rtl w:val="1"/>
              </w:rPr>
              <w:t>تخصص و سرمایهٔ ایرانیان خارج از کشور</w:t>
            </w:r>
          </w:p>
        </w:tc>
        <w:tc>
          <w:tcPr>
            <w:tcW w:type="dxa" w:w="1134"/>
            <w:vAlign w:val="center"/>
            <w:tcMar>
              <w:top w:w="90" w:type="dxa"/>
              <w:start w:w="100" w:type="dxa"/>
              <w:bottom w:w="90" w:type="dxa"/>
              <w:end w:w="100" w:type="dxa"/>
            </w:tcMar>
            <w:shd w:fill="FFFFFF"/>
          </w:tcPr>
          <w:p>
            <w:pPr>
              <w:keepNext w:val="0"/>
              <w:keepLines w:val="0"/>
              <w:spacing w:before="0" w:after="0" w:line="264" w:lineRule="auto"/>
              <w:jc w:val="center"/>
              <w:bidi w:val="1"/>
            </w:pPr>
            <w:r/>
            <w:r>
              <w:rPr>
                <w:rFonts w:ascii="Noto Naskh Arabic" w:hAnsi="Noto Naskh Arabic" w:eastAsia="Noto Naskh Arabic" w:cs="Noto Naskh Arabic"/>
                <w:b/>
                <w:i w:val="0"/>
                <w:color w:val="1F2937"/>
                <w:sz w:val="17"/>
                <w:rtl w:val="1"/>
              </w:rPr>
              <w:t>۴</w:t>
            </w:r>
          </w:p>
        </w:tc>
        <w:tc>
          <w:tcPr>
            <w:tcW w:type="dxa" w:w="6009"/>
            <w:vAlign w:val="center"/>
            <w:tcMar>
              <w:top w:w="90" w:type="dxa"/>
              <w:start w:w="100" w:type="dxa"/>
              <w:bottom w:w="90" w:type="dxa"/>
              <w:end w:w="100" w:type="dxa"/>
            </w:tcMar>
            <w:shd w:fill="FFFFFF"/>
          </w:tcPr>
          <w:p>
            <w:pPr>
              <w:keepNext w:val="0"/>
              <w:keepLines w:val="0"/>
              <w:spacing w:before="0" w:after="0" w:line="264" w:lineRule="auto"/>
              <w:jc w:val="right"/>
              <w:bidi w:val="1"/>
            </w:pPr>
            <w:r/>
            <w:r>
              <w:rPr>
                <w:rFonts w:ascii="Noto Naskh Arabic" w:hAnsi="Noto Naskh Arabic" w:eastAsia="Noto Naskh Arabic" w:cs="Noto Naskh Arabic"/>
                <w:b w:val="0"/>
                <w:i w:val="0"/>
                <w:color w:val="1F2937"/>
                <w:sz w:val="17"/>
                <w:rtl w:val="1"/>
              </w:rPr>
              <w:t>اختلافات دیاسپورا و نامعلوم بودن میزان بازگشت واقعی</w:t>
            </w:r>
          </w:p>
        </w:tc>
        <w:tc>
          <w:tcPr>
            <w:tcW w:type="dxa" w:w="1134"/>
            <w:vAlign w:val="center"/>
            <w:tcMar>
              <w:top w:w="90" w:type="dxa"/>
              <w:start w:w="100" w:type="dxa"/>
              <w:bottom w:w="90" w:type="dxa"/>
              <w:end w:w="100" w:type="dxa"/>
            </w:tcMar>
            <w:shd w:fill="FFFFFF"/>
          </w:tcPr>
          <w:p>
            <w:pPr>
              <w:keepNext w:val="0"/>
              <w:keepLines w:val="0"/>
              <w:spacing w:before="0" w:after="0" w:line="264" w:lineRule="auto"/>
              <w:jc w:val="center"/>
              <w:bidi w:val="1"/>
            </w:pPr>
            <w:r/>
            <w:r>
              <w:rPr>
                <w:rFonts w:ascii="Noto Naskh Arabic" w:hAnsi="Noto Naskh Arabic" w:eastAsia="Noto Naskh Arabic" w:cs="Noto Naskh Arabic"/>
                <w:b/>
                <w:i w:val="0"/>
                <w:color w:val="1F2937"/>
                <w:sz w:val="17"/>
                <w:rtl w:val="1"/>
              </w:rPr>
              <w:t>۳</w:t>
            </w:r>
          </w:p>
        </w:tc>
      </w:tr>
      <w:tr>
        <w:tc>
          <w:tcPr>
            <w:tcW w:type="dxa" w:w="6009"/>
            <w:vAlign w:val="center"/>
            <w:tcMar>
              <w:top w:w="90" w:type="dxa"/>
              <w:start w:w="100" w:type="dxa"/>
              <w:bottom w:w="90" w:type="dxa"/>
              <w:end w:w="100" w:type="dxa"/>
            </w:tcMar>
            <w:shd w:fill="F8FAFC"/>
          </w:tcPr>
          <w:p>
            <w:pPr>
              <w:keepNext w:val="0"/>
              <w:keepLines w:val="0"/>
              <w:spacing w:before="0" w:after="0" w:line="264" w:lineRule="auto"/>
              <w:jc w:val="right"/>
              <w:bidi w:val="1"/>
            </w:pPr>
            <w:r/>
            <w:r>
              <w:rPr>
                <w:rFonts w:ascii="Noto Naskh Arabic" w:hAnsi="Noto Naskh Arabic" w:eastAsia="Noto Naskh Arabic" w:cs="Noto Naskh Arabic"/>
                <w:b w:val="0"/>
                <w:i w:val="0"/>
                <w:color w:val="1F2937"/>
                <w:sz w:val="17"/>
                <w:rtl w:val="1"/>
              </w:rPr>
              <w:t>نفت، گاز، معدن، موقعیت ترانزیتی و تنگهٔ هرمز</w:t>
            </w:r>
          </w:p>
        </w:tc>
        <w:tc>
          <w:tcPr>
            <w:tcW w:type="dxa" w:w="1134"/>
            <w:vAlign w:val="center"/>
            <w:tcMar>
              <w:top w:w="90" w:type="dxa"/>
              <w:start w:w="100" w:type="dxa"/>
              <w:bottom w:w="90" w:type="dxa"/>
              <w:end w:w="100" w:type="dxa"/>
            </w:tcMar>
            <w:shd w:fill="F8FAFC"/>
          </w:tcPr>
          <w:p>
            <w:pPr>
              <w:keepNext w:val="0"/>
              <w:keepLines w:val="0"/>
              <w:spacing w:before="0" w:after="0" w:line="264" w:lineRule="auto"/>
              <w:jc w:val="center"/>
              <w:bidi w:val="1"/>
            </w:pPr>
            <w:r/>
            <w:r>
              <w:rPr>
                <w:rFonts w:ascii="Noto Naskh Arabic" w:hAnsi="Noto Naskh Arabic" w:eastAsia="Noto Naskh Arabic" w:cs="Noto Naskh Arabic"/>
                <w:b/>
                <w:i w:val="0"/>
                <w:color w:val="1F2937"/>
                <w:sz w:val="17"/>
                <w:rtl w:val="1"/>
              </w:rPr>
              <w:t>۴</w:t>
            </w:r>
          </w:p>
        </w:tc>
        <w:tc>
          <w:tcPr>
            <w:tcW w:type="dxa" w:w="6009"/>
            <w:vAlign w:val="center"/>
            <w:tcMar>
              <w:top w:w="90" w:type="dxa"/>
              <w:start w:w="100" w:type="dxa"/>
              <w:bottom w:w="90" w:type="dxa"/>
              <w:end w:w="100" w:type="dxa"/>
            </w:tcMar>
            <w:shd w:fill="F8FAFC"/>
          </w:tcPr>
          <w:p>
            <w:pPr>
              <w:keepNext w:val="0"/>
              <w:keepLines w:val="0"/>
              <w:spacing w:before="0" w:after="0" w:line="264" w:lineRule="auto"/>
              <w:jc w:val="right"/>
              <w:bidi w:val="1"/>
            </w:pPr>
            <w:r/>
            <w:r>
              <w:rPr>
                <w:rFonts w:ascii="Noto Naskh Arabic" w:hAnsi="Noto Naskh Arabic" w:eastAsia="Noto Naskh Arabic" w:cs="Noto Naskh Arabic"/>
                <w:b w:val="0"/>
                <w:i w:val="0"/>
                <w:color w:val="1F2937"/>
                <w:sz w:val="17"/>
                <w:rtl w:val="1"/>
              </w:rPr>
              <w:t>اقتصاد رانتی، بحران آب و شبکه‌های انحصاری</w:t>
            </w:r>
          </w:p>
        </w:tc>
        <w:tc>
          <w:tcPr>
            <w:tcW w:type="dxa" w:w="1134"/>
            <w:vAlign w:val="center"/>
            <w:tcMar>
              <w:top w:w="90" w:type="dxa"/>
              <w:start w:w="100" w:type="dxa"/>
              <w:bottom w:w="90" w:type="dxa"/>
              <w:end w:w="100" w:type="dxa"/>
            </w:tcMar>
            <w:shd w:fill="F8FAFC"/>
          </w:tcPr>
          <w:p>
            <w:pPr>
              <w:keepNext w:val="0"/>
              <w:keepLines w:val="0"/>
              <w:spacing w:before="0" w:after="0" w:line="264" w:lineRule="auto"/>
              <w:jc w:val="center"/>
              <w:bidi w:val="1"/>
            </w:pPr>
            <w:r/>
            <w:r>
              <w:rPr>
                <w:rFonts w:ascii="Noto Naskh Arabic" w:hAnsi="Noto Naskh Arabic" w:eastAsia="Noto Naskh Arabic" w:cs="Noto Naskh Arabic"/>
                <w:b/>
                <w:i w:val="0"/>
                <w:color w:val="1F2937"/>
                <w:sz w:val="17"/>
                <w:rtl w:val="1"/>
              </w:rPr>
              <w:t>۵</w:t>
            </w:r>
          </w:p>
        </w:tc>
      </w:tr>
      <w:tr>
        <w:tc>
          <w:tcPr>
            <w:tcW w:type="dxa" w:w="6009"/>
            <w:vAlign w:val="center"/>
            <w:tcMar>
              <w:top w:w="90" w:type="dxa"/>
              <w:start w:w="100" w:type="dxa"/>
              <w:bottom w:w="90" w:type="dxa"/>
              <w:end w:w="100" w:type="dxa"/>
            </w:tcMar>
            <w:shd w:fill="FFFFFF"/>
          </w:tcPr>
          <w:p>
            <w:pPr>
              <w:keepNext w:val="0"/>
              <w:keepLines w:val="0"/>
              <w:spacing w:before="0" w:after="0" w:line="264" w:lineRule="auto"/>
              <w:jc w:val="right"/>
              <w:bidi w:val="1"/>
            </w:pPr>
            <w:r/>
            <w:r>
              <w:rPr>
                <w:rFonts w:ascii="Noto Naskh Arabic" w:hAnsi="Noto Naskh Arabic" w:eastAsia="Noto Naskh Arabic" w:cs="Noto Naskh Arabic"/>
                <w:b w:val="0"/>
                <w:i w:val="0"/>
                <w:color w:val="1F2937"/>
                <w:sz w:val="17"/>
                <w:rtl w:val="1"/>
              </w:rPr>
              <w:t>علاقهٔ منطقه و جهان به ایرانی باثبات و قابل پیش‌بینی</w:t>
            </w:r>
          </w:p>
        </w:tc>
        <w:tc>
          <w:tcPr>
            <w:tcW w:type="dxa" w:w="1134"/>
            <w:vAlign w:val="center"/>
            <w:tcMar>
              <w:top w:w="90" w:type="dxa"/>
              <w:start w:w="100" w:type="dxa"/>
              <w:bottom w:w="90" w:type="dxa"/>
              <w:end w:w="100" w:type="dxa"/>
            </w:tcMar>
            <w:shd w:fill="FFFFFF"/>
          </w:tcPr>
          <w:p>
            <w:pPr>
              <w:keepNext w:val="0"/>
              <w:keepLines w:val="0"/>
              <w:spacing w:before="0" w:after="0" w:line="264" w:lineRule="auto"/>
              <w:jc w:val="center"/>
              <w:bidi w:val="1"/>
            </w:pPr>
            <w:r/>
            <w:r>
              <w:rPr>
                <w:rFonts w:ascii="Noto Naskh Arabic" w:hAnsi="Noto Naskh Arabic" w:eastAsia="Noto Naskh Arabic" w:cs="Noto Naskh Arabic"/>
                <w:b/>
                <w:i w:val="0"/>
                <w:color w:val="1F2937"/>
                <w:sz w:val="17"/>
                <w:rtl w:val="1"/>
              </w:rPr>
              <w:t>۳</w:t>
            </w:r>
          </w:p>
        </w:tc>
        <w:tc>
          <w:tcPr>
            <w:tcW w:type="dxa" w:w="6009"/>
            <w:vAlign w:val="center"/>
            <w:tcMar>
              <w:top w:w="90" w:type="dxa"/>
              <w:start w:w="100" w:type="dxa"/>
              <w:bottom w:w="90" w:type="dxa"/>
              <w:end w:w="100" w:type="dxa"/>
            </w:tcMar>
            <w:shd w:fill="FFFFFF"/>
          </w:tcPr>
          <w:p>
            <w:pPr>
              <w:keepNext w:val="0"/>
              <w:keepLines w:val="0"/>
              <w:spacing w:before="0" w:after="0" w:line="264" w:lineRule="auto"/>
              <w:jc w:val="right"/>
              <w:bidi w:val="1"/>
            </w:pPr>
            <w:r/>
            <w:r>
              <w:rPr>
                <w:rFonts w:ascii="Noto Naskh Arabic" w:hAnsi="Noto Naskh Arabic" w:eastAsia="Noto Naskh Arabic" w:cs="Noto Naskh Arabic"/>
                <w:b w:val="0"/>
                <w:i w:val="0"/>
                <w:color w:val="1F2937"/>
                <w:sz w:val="17"/>
                <w:rtl w:val="1"/>
              </w:rPr>
              <w:t>تفاوت منافع آمریکا، اسرائیل، اروپا، اعراب، چین و روسیه</w:t>
            </w:r>
          </w:p>
        </w:tc>
        <w:tc>
          <w:tcPr>
            <w:tcW w:type="dxa" w:w="1134"/>
            <w:vAlign w:val="center"/>
            <w:tcMar>
              <w:top w:w="90" w:type="dxa"/>
              <w:start w:w="100" w:type="dxa"/>
              <w:bottom w:w="90" w:type="dxa"/>
              <w:end w:w="100" w:type="dxa"/>
            </w:tcMar>
            <w:shd w:fill="FFFFFF"/>
          </w:tcPr>
          <w:p>
            <w:pPr>
              <w:keepNext w:val="0"/>
              <w:keepLines w:val="0"/>
              <w:spacing w:before="0" w:after="0" w:line="264" w:lineRule="auto"/>
              <w:jc w:val="center"/>
              <w:bidi w:val="1"/>
            </w:pPr>
            <w:r/>
            <w:r>
              <w:rPr>
                <w:rFonts w:ascii="Noto Naskh Arabic" w:hAnsi="Noto Naskh Arabic" w:eastAsia="Noto Naskh Arabic" w:cs="Noto Naskh Arabic"/>
                <w:b/>
                <w:i w:val="0"/>
                <w:color w:val="1F2937"/>
                <w:sz w:val="17"/>
                <w:rtl w:val="1"/>
              </w:rPr>
              <w:t>۴</w:t>
            </w:r>
          </w:p>
        </w:tc>
      </w:tr>
      <w:tr>
        <w:tc>
          <w:tcPr>
            <w:tcW w:type="dxa" w:w="6009"/>
            <w:vAlign w:val="center"/>
            <w:tcMar>
              <w:top w:w="90" w:type="dxa"/>
              <w:start w:w="100" w:type="dxa"/>
              <w:bottom w:w="90" w:type="dxa"/>
              <w:end w:w="100" w:type="dxa"/>
            </w:tcMar>
            <w:shd w:fill="F8FAFC"/>
          </w:tcPr>
          <w:p>
            <w:pPr>
              <w:keepNext w:val="0"/>
              <w:keepLines w:val="0"/>
              <w:spacing w:before="0" w:after="0" w:line="264" w:lineRule="auto"/>
              <w:jc w:val="right"/>
              <w:bidi w:val="1"/>
            </w:pPr>
            <w:r/>
            <w:r>
              <w:rPr>
                <w:rFonts w:ascii="Noto Naskh Arabic" w:hAnsi="Noto Naskh Arabic" w:eastAsia="Noto Naskh Arabic" w:cs="Noto Naskh Arabic"/>
                <w:b w:val="0"/>
                <w:i w:val="0"/>
                <w:color w:val="1F2937"/>
                <w:sz w:val="17"/>
                <w:rtl w:val="1"/>
              </w:rPr>
              <w:t>آرمان وحدت ملی و حافظهٔ دولت‌سازی پهلوی</w:t>
            </w:r>
          </w:p>
        </w:tc>
        <w:tc>
          <w:tcPr>
            <w:tcW w:type="dxa" w:w="1134"/>
            <w:vAlign w:val="center"/>
            <w:tcMar>
              <w:top w:w="90" w:type="dxa"/>
              <w:start w:w="100" w:type="dxa"/>
              <w:bottom w:w="90" w:type="dxa"/>
              <w:end w:w="100" w:type="dxa"/>
            </w:tcMar>
            <w:shd w:fill="F8FAFC"/>
          </w:tcPr>
          <w:p>
            <w:pPr>
              <w:keepNext w:val="0"/>
              <w:keepLines w:val="0"/>
              <w:spacing w:before="0" w:after="0" w:line="264" w:lineRule="auto"/>
              <w:jc w:val="center"/>
              <w:bidi w:val="1"/>
            </w:pPr>
            <w:r/>
            <w:r>
              <w:rPr>
                <w:rFonts w:ascii="Noto Naskh Arabic" w:hAnsi="Noto Naskh Arabic" w:eastAsia="Noto Naskh Arabic" w:cs="Noto Naskh Arabic"/>
                <w:b/>
                <w:i w:val="0"/>
                <w:color w:val="1F2937"/>
                <w:sz w:val="17"/>
                <w:rtl w:val="1"/>
              </w:rPr>
              <w:t>۴</w:t>
            </w:r>
          </w:p>
        </w:tc>
        <w:tc>
          <w:tcPr>
            <w:tcW w:type="dxa" w:w="6009"/>
            <w:vAlign w:val="center"/>
            <w:tcMar>
              <w:top w:w="90" w:type="dxa"/>
              <w:start w:w="100" w:type="dxa"/>
              <w:bottom w:w="90" w:type="dxa"/>
              <w:end w:w="100" w:type="dxa"/>
            </w:tcMar>
            <w:shd w:fill="F8FAFC"/>
          </w:tcPr>
          <w:p>
            <w:pPr>
              <w:keepNext w:val="0"/>
              <w:keepLines w:val="0"/>
              <w:spacing w:before="0" w:after="0" w:line="264" w:lineRule="auto"/>
              <w:jc w:val="right"/>
              <w:bidi w:val="1"/>
            </w:pPr>
            <w:r/>
            <w:r>
              <w:rPr>
                <w:rFonts w:ascii="Noto Naskh Arabic" w:hAnsi="Noto Naskh Arabic" w:eastAsia="Noto Naskh Arabic" w:cs="Noto Naskh Arabic"/>
                <w:b w:val="0"/>
                <w:i w:val="0"/>
                <w:color w:val="1F2937"/>
                <w:sz w:val="17"/>
                <w:rtl w:val="1"/>
              </w:rPr>
              <w:t>خطر انتقام‌جویی، پاک‌سازی جمعی و شخص‌محوری</w:t>
            </w:r>
          </w:p>
        </w:tc>
        <w:tc>
          <w:tcPr>
            <w:tcW w:type="dxa" w:w="1134"/>
            <w:vAlign w:val="center"/>
            <w:tcMar>
              <w:top w:w="90" w:type="dxa"/>
              <w:start w:w="100" w:type="dxa"/>
              <w:bottom w:w="90" w:type="dxa"/>
              <w:end w:w="100" w:type="dxa"/>
            </w:tcMar>
            <w:shd w:fill="F8FAFC"/>
          </w:tcPr>
          <w:p>
            <w:pPr>
              <w:keepNext w:val="0"/>
              <w:keepLines w:val="0"/>
              <w:spacing w:before="0" w:after="0" w:line="264" w:lineRule="auto"/>
              <w:jc w:val="center"/>
              <w:bidi w:val="1"/>
            </w:pPr>
            <w:r/>
            <w:r>
              <w:rPr>
                <w:rFonts w:ascii="Noto Naskh Arabic" w:hAnsi="Noto Naskh Arabic" w:eastAsia="Noto Naskh Arabic" w:cs="Noto Naskh Arabic"/>
                <w:b/>
                <w:i w:val="0"/>
                <w:color w:val="1F2937"/>
                <w:sz w:val="17"/>
                <w:rtl w:val="1"/>
              </w:rPr>
              <w:t>۴</w:t>
            </w:r>
          </w:p>
        </w:tc>
      </w:tr>
    </w:tbl>
    <w:p>
      <w:pPr>
        <w:keepNext w:val="0"/>
        <w:keepLines w:val="0"/>
        <w:spacing w:before="60" w:after="140" w:line="240" w:lineRule="auto"/>
        <w:jc w:val="center"/>
        <w:bidi w:val="1"/>
        <w:widowControl w:val="1"/>
      </w:pPr>
      <w:r>
        <w:rPr>
          <w:rFonts w:ascii="Noto Naskh Arabic" w:hAnsi="Noto Naskh Arabic" w:eastAsia="Noto Naskh Arabic" w:cs="Noto Naskh Arabic"/>
          <w:b w:val="0"/>
          <w:i/>
          <w:color w:val="6B7280"/>
          <w:sz w:val="18"/>
          <w:rtl w:val="1"/>
        </w:rPr>
        <w:t>جدول ۲. نیروهای محرک و بازدارنده در سناریوی گذار؛ شدت‌ها داوری تحلیلی نویسنده‌اند.</w:t>
      </w:r>
    </w:p>
    <w:p>
      <w:pPr>
        <w:sectPr>
          <w:headerReference w:type="default" r:id="rId18"/>
          <w:footerReference w:type="default" r:id="rId19"/>
          <w:pgSz w:w="16838" w:h="11906" w:orient="landscape"/>
          <w:pgMar w:top="567" w:right="567" w:bottom="567" w:left="567" w:header="255" w:footer="255" w:gutter="0"/>
          <w:cols w:space="720"/>
          <w:titlePg/>
          <w:docGrid w:linePitch="360"/>
          <w:vAlign w:val="center"/>
        </w:sectPr>
        <w:widowControl w:val="1"/>
      </w:pPr>
    </w:p>
    <w:p>
      <w:pPr>
        <w:keepNext w:val="0"/>
        <w:keepLines w:val="0"/>
        <w:spacing w:before="0" w:after="120" w:line="300" w:lineRule="auto"/>
        <w:jc w:val="both"/>
        <w:bidi w:val="1"/>
        <w:widowControl w:val="1"/>
      </w:pPr>
      <w:r>
        <w:rPr>
          <w:rFonts w:ascii="Noto Naskh Arabic" w:hAnsi="Noto Naskh Arabic" w:eastAsia="Noto Naskh Arabic" w:cs="Noto Naskh Arabic"/>
          <w:b w:val="0"/>
          <w:i w:val="0"/>
          <w:color w:val="1F2937"/>
          <w:sz w:val="22"/>
          <w:rtl w:val="1"/>
        </w:rPr>
        <w:t>در این وضعیت، راهبرد موفق فقط افزودن فشار به نیروهای محرک نیست. کاهش ترس، بی‌اعتمادی، خشونت و ابهام نهادی گاه مؤثرتر است. پنج مانع اصلی باید کاهش یابد: پایان جنگ و آسیب غیرنظامی؛ فرماندهی قانونی واحد نیروهای مسلح؛ ائتلاف واقعی و نه نمایشی؛ تقویم روشن مجلس مؤسسان و انتخابات؛ و برنامهٔ اقتصادی و مالی آماده برای روز بعد. جنگ شاید پنجره‌ای بگشاید، اما خانهٔ دموکراسی را نمی‌سازد. [۴–۸، ۳۱–۳۳]</w:t>
      </w:r>
    </w:p>
    <w:p>
      <w:pPr>
        <w:pStyle w:val="Heading1"/>
        <w:keepNext/>
        <w:keepLines w:val="0"/>
        <w:spacing w:before="200" w:after="100" w:line="252" w:lineRule="auto"/>
        <w:jc w:val="right"/>
        <w:bidi w:val="1"/>
        <w:pBdr>
          <w:bottom w:val="single" w:sz="8" w:space="5" w:color="B8872E"/>
        </w:pBdr>
        <w:widowControl w:val="1"/>
      </w:pPr>
      <w:r>
        <w:rPr>
          <w:rFonts w:ascii="Noto Sans Arabic" w:hAnsi="Noto Sans Arabic" w:eastAsia="Noto Sans Arabic" w:cs="Noto Sans Arabic"/>
          <w:b/>
          <w:i w:val="0"/>
          <w:color w:val="17365D"/>
          <w:sz w:val="32"/>
          <w:rtl w:val="1"/>
        </w:rPr>
        <w:t>۷. جایگاه واقعی آمریکا، اسرائیل و کشورهای خلیج فارس</w:t>
      </w:r>
    </w:p>
    <w:p>
      <w:pPr>
        <w:keepNext w:val="0"/>
        <w:keepLines w:val="0"/>
        <w:spacing w:before="0" w:after="120" w:line="300" w:lineRule="auto"/>
        <w:jc w:val="both"/>
        <w:bidi w:val="1"/>
        <w:widowControl w:val="1"/>
      </w:pPr>
      <w:r>
        <w:rPr>
          <w:rFonts w:ascii="Noto Naskh Arabic" w:hAnsi="Noto Naskh Arabic" w:eastAsia="Noto Naskh Arabic" w:cs="Noto Naskh Arabic"/>
          <w:b w:val="0"/>
          <w:i w:val="0"/>
          <w:color w:val="1F2937"/>
          <w:sz w:val="22"/>
          <w:rtl w:val="1"/>
        </w:rPr>
        <w:t>هیچ کشور خارجی عاشق ایران نیست؛ هر دولت پیش از هر چیز منافع ملی خود را دنبال می‌کند. آمریکا به مسئلهٔ هسته‌ای، امنیت نیروها، کشتیرانی و توازن قدرت می‌اندیشد. اسرائیل به پایان تهدید موشکی، هسته‌ای و نیابتی توجه دارد. کشورهای عربی خلیج فارس خواهان امنیت تأسیسات انرژی، بنادر، آب‌شیرین‌کن‌ها، فرودگاه‌ها و تجارت خود هستند. [۲۰، ۲۱، ۲۵]</w:t>
      </w:r>
    </w:p>
    <w:p>
      <w:pPr>
        <w:keepNext w:val="0"/>
        <w:keepLines w:val="0"/>
        <w:spacing w:before="0" w:after="120" w:line="300" w:lineRule="auto"/>
        <w:jc w:val="both"/>
        <w:bidi w:val="1"/>
        <w:widowControl w:val="1"/>
      </w:pPr>
      <w:r>
        <w:rPr>
          <w:rFonts w:ascii="Noto Naskh Arabic" w:hAnsi="Noto Naskh Arabic" w:eastAsia="Noto Naskh Arabic" w:cs="Noto Naskh Arabic"/>
          <w:b w:val="0"/>
          <w:i w:val="0"/>
          <w:color w:val="1F2937"/>
          <w:sz w:val="22"/>
          <w:rtl w:val="1"/>
        </w:rPr>
        <w:t>حملات موشکی و پهپادی جمهوری اسلامی و اختلال در تنگهٔ هرمز، منطقه را مستقیماً در معرض هزینه قرار داده است. از این رو، کشورهای خلیج فارس ممکن است از ظهور ایرانی باثبات، غیرتهاجمی و قانون‌مدار استقبال کنند. با این حال، هم‌پوشانی منافع را نباید با حمایت رسمی از یک فرد یا پذیرش شکل مشخص حکومت یکی گرفت. منبع معتبر مستقلی که حمایت جمعی کشورهای خلیج فارس از به‌قدرت‌رسیدن شاهزاده را اثبات کند، در دست نیست.</w:t>
      </w:r>
    </w:p>
    <w:p>
      <w:pPr>
        <w:keepNext w:val="0"/>
        <w:keepLines w:val="0"/>
        <w:spacing w:before="0" w:after="120" w:line="300" w:lineRule="auto"/>
        <w:jc w:val="both"/>
        <w:bidi w:val="1"/>
        <w:widowControl w:val="1"/>
      </w:pPr>
      <w:r>
        <w:rPr>
          <w:rFonts w:ascii="Noto Naskh Arabic" w:hAnsi="Noto Naskh Arabic" w:eastAsia="Noto Naskh Arabic" w:cs="Noto Naskh Arabic"/>
          <w:b w:val="0"/>
          <w:i w:val="0"/>
          <w:color w:val="1F2937"/>
          <w:sz w:val="22"/>
          <w:rtl w:val="1"/>
        </w:rPr>
        <w:t>در سناریوی مطلوب، حمایت خارجی چهار شکل دارد: حفاظت از غیرنظامیان و زیرساخت حیاتی؛ رفع مرحله‌ای و قابل راستی‌آزمایی تحریم‌ها؛ تضمین سرمایه‌گذاری و بیمهٔ ریسک سیاسی؛ و انتقال دانش، فناوری و منابع مالی. این حمایت نباید به تعیین فرمانروای ایران، اشغال، تجزیه، قرارداد محرمانه یا واگذاری منابع ملی منجر شود. قرارداد خارجی باید محدود، شفاف، پارلمانی و قابل فسخ باشد. [۱۳–۱۵، ۳۱، ۳۲]</w:t>
      </w:r>
    </w:p>
    <w:tbl>
      <w:tblPr>
        <w:tblW w:type="auto" w:w="0"/>
        <w:jc w:val="center"/>
        <w:tblLayout w:type="fixed"/>
        <w:tblLook w:firstColumn="1" w:firstRow="1" w:lastColumn="0" w:lastRow="0" w:noHBand="0" w:noVBand="1" w:val="04A0"/>
      </w:tblPr>
      <w:tblGrid>
        <w:gridCol w:w="9922"/>
      </w:tblGrid>
      <w:tr>
        <w:tc>
          <w:tcPr>
            <w:tcW w:type="dxa" w:w="8957"/>
            <w:shd w:fill="EDF7EF"/>
            <w:tcMar>
              <w:top w:w="160" w:type="dxa"/>
              <w:start w:w="220" w:type="dxa"/>
              <w:bottom w:w="160" w:type="dxa"/>
              <w:end w:w="220" w:type="dxa"/>
            </w:tcMar>
            <w:tcBorders>
              <w:top w:val="single" w:sz="10" w:color="2E7D32"/>
              <w:left w:val="single" w:sz="10" w:color="2E7D32"/>
              <w:bottom w:val="single" w:sz="10" w:color="2E7D32"/>
              <w:right w:val="single" w:sz="10" w:color="2E7D32"/>
            </w:tcBorders>
          </w:tcPr>
          <w:p>
            <w:pPr>
              <w:keepNext w:val="0"/>
              <w:keepLines w:val="0"/>
              <w:spacing w:before="0" w:after="0" w:line="288" w:lineRule="auto"/>
              <w:jc w:val="center"/>
              <w:bidi w:val="1"/>
            </w:pPr>
            <w:r>
              <w:rPr>
                <w:rFonts w:ascii="Noto Naskh Arabic" w:hAnsi="Noto Naskh Arabic" w:eastAsia="Noto Naskh Arabic" w:cs="Noto Naskh Arabic"/>
                <w:b/>
                <w:i w:val="0"/>
                <w:color w:val="2E7D32"/>
                <w:sz w:val="23"/>
                <w:rtl w:val="1"/>
              </w:rPr>
              <w:t>اعتبار خارجی باید پیامد مشروعیت ایرانی باشد، نه جایگزین آن.</w:t>
            </w:r>
          </w:p>
        </w:tc>
      </w:tr>
    </w:tbl>
    <w:p>
      <w:pPr>
        <w:spacing w:after="0"/>
        <w:widowControl w:val="1"/>
      </w:pPr>
    </w:p>
    <w:p>
      <w:pPr>
        <w:pStyle w:val="Heading1"/>
        <w:keepNext/>
        <w:keepLines w:val="0"/>
        <w:spacing w:before="200" w:after="100" w:line="252" w:lineRule="auto"/>
        <w:jc w:val="right"/>
        <w:bidi w:val="1"/>
        <w:pBdr>
          <w:bottom w:val="single" w:sz="8" w:space="5" w:color="B8872E"/>
        </w:pBdr>
        <w:widowControl w:val="1"/>
      </w:pPr>
      <w:r>
        <w:rPr>
          <w:rFonts w:ascii="Noto Sans Arabic" w:hAnsi="Noto Sans Arabic" w:eastAsia="Noto Sans Arabic" w:cs="Noto Sans Arabic"/>
          <w:b/>
          <w:i w:val="0"/>
          <w:color w:val="17365D"/>
          <w:sz w:val="32"/>
          <w:rtl w:val="1"/>
        </w:rPr>
        <w:t>۸. ایرانیان خارج از کشور؛ بازگشت همگانی یا شبکهٔ جهانی ایران؟</w:t>
      </w:r>
    </w:p>
    <w:p>
      <w:pPr>
        <w:keepNext w:val="0"/>
        <w:keepLines w:val="0"/>
        <w:spacing w:before="0" w:after="120" w:line="300" w:lineRule="auto"/>
        <w:jc w:val="both"/>
        <w:bidi w:val="1"/>
        <w:widowControl w:val="1"/>
      </w:pPr>
      <w:r>
        <w:rPr>
          <w:rFonts w:ascii="Noto Naskh Arabic" w:hAnsi="Noto Naskh Arabic" w:eastAsia="Noto Naskh Arabic" w:cs="Noto Naskh Arabic"/>
          <w:b w:val="0"/>
          <w:i w:val="0"/>
          <w:color w:val="1F2937"/>
          <w:sz w:val="22"/>
          <w:rtl w:val="1"/>
        </w:rPr>
        <w:t>برآورد اندازهٔ دیاسپورای ایرانی یکسان نیست و دامنه‌های چندمیلیونی متفاوتی ذکر می‌شود. هیچ داده‌ای نیز نشان نمی‌دهد که همهٔ ایرانیان خارج کشور قصد بازگشت دائمی دارند. جامعهٔ ایرانی خارج کشور از نظر سیاسی، نسلی، اقتصادی و سبک زندگی متکثر است. بنابراین برنامهٔ بازسازی نباید بر وعدهٔ غیرواقعی «بازگشت فوری همه» بنا شود. [۱۹، ۳۱–۳۵]</w:t>
      </w:r>
    </w:p>
    <w:p>
      <w:pPr>
        <w:keepNext w:val="0"/>
        <w:keepLines w:val="0"/>
        <w:spacing w:before="0" w:after="120" w:line="300" w:lineRule="auto"/>
        <w:jc w:val="both"/>
        <w:bidi w:val="1"/>
        <w:widowControl w:val="1"/>
      </w:pPr>
      <w:r>
        <w:rPr>
          <w:rFonts w:ascii="Noto Naskh Arabic" w:hAnsi="Noto Naskh Arabic" w:eastAsia="Noto Naskh Arabic" w:cs="Noto Naskh Arabic"/>
          <w:b w:val="0"/>
          <w:i w:val="0"/>
          <w:color w:val="1F2937"/>
          <w:sz w:val="22"/>
          <w:rtl w:val="1"/>
        </w:rPr>
        <w:t>چهار نوع بازگشت یا مشارکت قابل تصور است:</w:t>
      </w:r>
    </w:p>
    <w:p>
      <w:pPr>
        <w:pStyle w:val="ListBullet"/>
        <w:keepNext w:val="0"/>
        <w:keepLines w:val="0"/>
        <w:spacing w:before="0" w:after="60" w:line="283" w:lineRule="auto"/>
        <w:ind w:right="255"/>
        <w:jc w:val="both"/>
        <w:bidi w:val="1"/>
        <w:widowControl w:val="1"/>
      </w:pPr>
      <w:r>
        <w:rPr>
          <w:rFonts w:ascii="Noto Naskh Arabic" w:hAnsi="Noto Naskh Arabic" w:eastAsia="Noto Naskh Arabic" w:cs="Noto Naskh Arabic"/>
          <w:b w:val="0"/>
          <w:i w:val="0"/>
          <w:color w:val="1F2937"/>
          <w:sz w:val="22"/>
          <w:rtl w:val="1"/>
        </w:rPr>
        <w:t>بازگشت دائمی متخصصان، کارآفرینان و خانواده‌ها؛</w:t>
      </w:r>
    </w:p>
    <w:p>
      <w:pPr>
        <w:pStyle w:val="ListBullet"/>
        <w:keepNext w:val="0"/>
        <w:keepLines w:val="0"/>
        <w:spacing w:before="0" w:after="60" w:line="283" w:lineRule="auto"/>
        <w:ind w:right="255"/>
        <w:jc w:val="both"/>
        <w:bidi w:val="1"/>
        <w:widowControl w:val="1"/>
      </w:pPr>
      <w:r>
        <w:rPr>
          <w:rFonts w:ascii="Noto Naskh Arabic" w:hAnsi="Noto Naskh Arabic" w:eastAsia="Noto Naskh Arabic" w:cs="Noto Naskh Arabic"/>
          <w:b w:val="0"/>
          <w:i w:val="0"/>
          <w:color w:val="1F2937"/>
          <w:sz w:val="22"/>
          <w:rtl w:val="1"/>
        </w:rPr>
        <w:t>مهاجرت گردشی و تقسیم زمان میان ایران و کشور محل اقامت؛</w:t>
      </w:r>
    </w:p>
    <w:p>
      <w:pPr>
        <w:pStyle w:val="ListBullet"/>
        <w:keepNext w:val="0"/>
        <w:keepLines w:val="0"/>
        <w:spacing w:before="0" w:after="60" w:line="283" w:lineRule="auto"/>
        <w:ind w:right="255"/>
        <w:jc w:val="both"/>
        <w:bidi w:val="1"/>
        <w:widowControl w:val="1"/>
      </w:pPr>
      <w:r>
        <w:rPr>
          <w:rFonts w:ascii="Noto Naskh Arabic" w:hAnsi="Noto Naskh Arabic" w:eastAsia="Noto Naskh Arabic" w:cs="Noto Naskh Arabic"/>
          <w:b w:val="0"/>
          <w:i w:val="0"/>
          <w:color w:val="1F2937"/>
          <w:sz w:val="22"/>
          <w:rtl w:val="1"/>
        </w:rPr>
        <w:t>سرمایه‌گذاری، راه‌اندازی شرکت و تأمین مالی بدون اقامت دائم؛</w:t>
      </w:r>
    </w:p>
    <w:p>
      <w:pPr>
        <w:pStyle w:val="ListBullet"/>
        <w:keepNext w:val="0"/>
        <w:keepLines w:val="0"/>
        <w:spacing w:before="0" w:after="60" w:line="283" w:lineRule="auto"/>
        <w:ind w:right="255"/>
        <w:jc w:val="both"/>
        <w:bidi w:val="1"/>
        <w:widowControl w:val="1"/>
      </w:pPr>
      <w:r>
        <w:rPr>
          <w:rFonts w:ascii="Noto Naskh Arabic" w:hAnsi="Noto Naskh Arabic" w:eastAsia="Noto Naskh Arabic" w:cs="Noto Naskh Arabic"/>
          <w:b w:val="0"/>
          <w:i w:val="0"/>
          <w:color w:val="1F2937"/>
          <w:sz w:val="22"/>
          <w:rtl w:val="1"/>
        </w:rPr>
        <w:t>انتقال دانش از راه دانشگاه، پزشکی از راه دور، پژوهش و شبکه‌های حرفه‌ای.</w:t>
      </w:r>
    </w:p>
    <w:p>
      <w:pPr>
        <w:keepNext w:val="0"/>
        <w:keepLines w:val="0"/>
        <w:spacing w:before="0" w:after="120" w:line="300" w:lineRule="auto"/>
        <w:jc w:val="both"/>
        <w:bidi w:val="1"/>
        <w:widowControl w:val="1"/>
      </w:pPr>
      <w:r>
        <w:rPr>
          <w:rFonts w:ascii="Noto Naskh Arabic" w:hAnsi="Noto Naskh Arabic" w:eastAsia="Noto Naskh Arabic" w:cs="Noto Naskh Arabic"/>
          <w:b w:val="0"/>
          <w:i w:val="0"/>
          <w:color w:val="1F2937"/>
          <w:sz w:val="22"/>
          <w:rtl w:val="1"/>
        </w:rPr>
        <w:t>برای برنامه‌ریزی می‌توان در سناریوی پایه، بازگشت یا رفت‌وآمد حرفه‌ای ۵۰۰ هزار تا ۱٫۵ میلیون نفر طی ده سال را فرض کرد. این عدد پیش‌بینی آماری نیست؛ فرضی برای سنجش ظرفیت مسکن، مدرسه، بیمارستان، اشتغال و سرمایه‌گذاری است. دیاسپورا نباید طبقهٔ حاکم جدیدی باشد که جای مردم داخل را بگیرد. نقش آن باید مکمل باشد: سرمایه، تخصص، ارتباط جهانی و آموزش؛ با مدیریت محلی و پاسخ‌گویی عمومی. [۳۵]</w:t>
      </w:r>
    </w:p>
    <w:p>
      <w:pPr>
        <w:pStyle w:val="Heading1"/>
        <w:keepNext/>
        <w:keepLines w:val="0"/>
        <w:spacing w:before="200" w:after="100" w:line="252" w:lineRule="auto"/>
        <w:jc w:val="right"/>
        <w:bidi w:val="1"/>
        <w:pBdr>
          <w:bottom w:val="single" w:sz="8" w:space="5" w:color="B8872E"/>
        </w:pBdr>
        <w:widowControl w:val="1"/>
      </w:pPr>
      <w:r>
        <w:rPr>
          <w:rFonts w:ascii="Noto Sans Arabic" w:hAnsi="Noto Sans Arabic" w:eastAsia="Noto Sans Arabic" w:cs="Noto Sans Arabic"/>
          <w:b/>
          <w:i w:val="0"/>
          <w:color w:val="17365D"/>
          <w:sz w:val="32"/>
          <w:rtl w:val="1"/>
        </w:rPr>
        <w:t>۹. شکل پیشنهادی ادامهٔ منحنی رشد اقتصادی</w:t>
      </w:r>
    </w:p>
    <w:p>
      <w:pPr>
        <w:keepNext w:val="0"/>
        <w:keepLines w:val="0"/>
        <w:spacing w:before="0" w:after="120" w:line="300" w:lineRule="auto"/>
        <w:jc w:val="both"/>
        <w:bidi w:val="1"/>
        <w:widowControl w:val="1"/>
      </w:pPr>
      <w:r>
        <w:rPr>
          <w:rFonts w:ascii="Noto Naskh Arabic" w:hAnsi="Noto Naskh Arabic" w:eastAsia="Noto Naskh Arabic" w:cs="Noto Naskh Arabic"/>
          <w:b w:val="0"/>
          <w:i w:val="0"/>
          <w:color w:val="1F2937"/>
          <w:sz w:val="22"/>
          <w:rtl w:val="1"/>
        </w:rPr>
        <w:t>مبنای عددی سناریو، تولید ناخالص داخلی سرانهٔ واقعی حدود ۵٬۶۱۷ دلار به قیمت ثابت ۲۰۱۵ در سال ۲۰۲۵ است. این مقدار با داده‌های بانک جهانی سازگار است، اما ارقام آتی محصول فرض‌های این مقاله‌اند. [۱۰]</w:t>
      </w:r>
    </w:p>
    <w:tbl>
      <w:tblPr>
        <w:tblW w:type="auto" w:w="0"/>
        <w:jc w:val="center"/>
        <w:tblLayout w:type="fixed"/>
        <w:tblLook w:firstColumn="1" w:firstRow="1" w:lastColumn="0" w:lastRow="0" w:noHBand="0" w:noVBand="1" w:val="04A0"/>
      </w:tblPr>
      <w:tblGrid>
        <w:gridCol w:w="9922"/>
      </w:tblGrid>
      <w:tr>
        <w:tc>
          <w:tcPr>
            <w:tcW w:type="dxa" w:w="8957"/>
            <w:shd w:fill="F3F4F6"/>
            <w:tcMar>
              <w:top w:w="160" w:type="dxa"/>
              <w:start w:w="220" w:type="dxa"/>
              <w:bottom w:w="160" w:type="dxa"/>
              <w:end w:w="220" w:type="dxa"/>
            </w:tcMar>
            <w:tcBorders>
              <w:top w:val="single" w:sz="10" w:color="9CA3AF"/>
              <w:left w:val="single" w:sz="10" w:color="9CA3AF"/>
              <w:bottom w:val="single" w:sz="10" w:color="9CA3AF"/>
              <w:right w:val="single" w:sz="10" w:color="9CA3AF"/>
            </w:tcBorders>
          </w:tcPr>
          <w:p>
            <w:pPr>
              <w:keepNext w:val="0"/>
              <w:keepLines w:val="0"/>
              <w:spacing w:before="0" w:after="0" w:line="288" w:lineRule="auto"/>
              <w:jc w:val="center"/>
              <w:bidi w:val="1"/>
            </w:pPr>
            <w:r>
              <w:rPr>
                <w:rFonts w:ascii="Noto Naskh Arabic" w:hAnsi="Noto Naskh Arabic" w:eastAsia="Noto Naskh Arabic" w:cs="Noto Naskh Arabic"/>
                <w:b/>
                <w:i w:val="0"/>
                <w:color w:val="17365D"/>
                <w:sz w:val="24"/>
                <w:rtl w:val="1"/>
              </w:rPr>
              <w:t>GDPpc۲۰۵۰ = GDPpc۲۰۲۵ × ∏(۱ + gₜ)  برای سال‌های ۲۰۲۶ تا ۲۰۵۰</w:t>
            </w:r>
          </w:p>
        </w:tc>
      </w:tr>
    </w:tbl>
    <w:p>
      <w:pPr>
        <w:spacing w:after="0"/>
        <w:widowControl w:val="1"/>
      </w:pPr>
    </w:p>
    <w:p>
      <w:pPr>
        <w:keepNext w:val="0"/>
        <w:keepLines w:val="0"/>
        <w:spacing w:before="0" w:after="120" w:line="300" w:lineRule="auto"/>
        <w:jc w:val="both"/>
        <w:bidi w:val="1"/>
        <w:widowControl w:val="1"/>
      </w:pPr>
      <w:r>
        <w:rPr>
          <w:rFonts w:ascii="Noto Naskh Arabic" w:hAnsi="Noto Naskh Arabic" w:eastAsia="Noto Naskh Arabic" w:cs="Noto Naskh Arabic"/>
          <w:b w:val="0"/>
          <w:i w:val="0"/>
          <w:color w:val="1F2937"/>
          <w:sz w:val="22"/>
          <w:rtl w:val="1"/>
        </w:rPr>
        <w:t>منحنی آینده باید شکل J یا تیک‌مانند داشته باشد: افت کوتاه‌مدت ناشی از جنگ و انتقال، سپس تثبیت، بازسازی و در صورت موفقیت نهادی، شتاب نوآوری. عدد ۶ تا ۸ درصد بهتر است به دورهٔ جهش ۲۰۳۰ تا ۲۰۳۵ نسبت داده شود، نه به کل بیست‌وپنج سال. میانگین بلندمدت سناریوی پایه حدود ۴ درصد رشد واقعی سرانه و ۴٫۵ تا ۵٫۵ درصد رشد واقعی کل اقتصاد در نظر گرفته می‌شود.</w:t>
      </w:r>
    </w:p>
    <w:p>
      <w:pPr>
        <w:keepNext w:val="0"/>
        <w:keepLines w:val="0"/>
        <w:spacing w:before="80" w:after="40" w:line="240" w:lineRule="auto"/>
        <w:jc w:val="center"/>
        <w:bidi w:val="1"/>
        <w:widowControl w:val="1"/>
      </w:pPr>
      <w:r>
        <w:drawing>
          <wp:inline xmlns:a="http://schemas.openxmlformats.org/drawingml/2006/main" xmlns:pic="http://schemas.openxmlformats.org/drawingml/2006/picture">
            <wp:extent cx="5989320" cy="3182363"/>
            <wp:docPr id="2" name="Picture 2" descr="سه سناریوی فرضی تولید ناخالص داخلی سرانه واقعی ایران از ۲۰۲۵ تا ۲۰۵۰"/>
            <wp:cNvGraphicFramePr>
              <a:graphicFrameLocks noChangeAspect="1"/>
            </wp:cNvGraphicFramePr>
            <a:graphic>
              <a:graphicData uri="http://schemas.openxmlformats.org/drawingml/2006/picture">
                <pic:pic>
                  <pic:nvPicPr>
                    <pic:cNvPr id="0" name="iran_future_growth_scenarios.png"/>
                    <pic:cNvPicPr/>
                  </pic:nvPicPr>
                  <pic:blipFill>
                    <a:blip r:embed="rId22"/>
                    <a:stretch>
                      <a:fillRect/>
                    </a:stretch>
                  </pic:blipFill>
                  <pic:spPr>
                    <a:xfrm>
                      <a:off x="0" y="0"/>
                      <a:ext cx="5989320" cy="3182363"/>
                    </a:xfrm>
                    <a:prstGeom prst="rect"/>
                  </pic:spPr>
                </pic:pic>
              </a:graphicData>
            </a:graphic>
          </wp:inline>
        </w:drawing>
      </w:r>
    </w:p>
    <w:p>
      <w:pPr>
        <w:keepNext w:val="0"/>
        <w:keepLines w:val="0"/>
        <w:spacing w:before="60" w:after="140" w:line="240" w:lineRule="auto"/>
        <w:jc w:val="center"/>
        <w:bidi w:val="1"/>
        <w:widowControl w:val="1"/>
      </w:pPr>
      <w:r>
        <w:rPr>
          <w:rFonts w:ascii="Noto Naskh Arabic" w:hAnsi="Noto Naskh Arabic" w:eastAsia="Noto Naskh Arabic" w:cs="Noto Naskh Arabic"/>
          <w:b w:val="0"/>
          <w:i/>
          <w:color w:val="6B7280"/>
          <w:sz w:val="18"/>
          <w:rtl w:val="1"/>
        </w:rPr>
        <w:t>شکل ۲. سه مسیر فرضی تولید ناخالص داخلی سرانهٔ واقعی ایران. نوارهای زمانی نشان‌دهندهٔ گذار، تثبیت و جهش نوآوری‌اند؛ نمودار پیش‌بینی رسمی نیست.</w:t>
      </w:r>
    </w:p>
    <w:p>
      <w:pPr>
        <w:pStyle w:val="Heading2"/>
        <w:keepNext/>
        <w:keepLines w:val="0"/>
        <w:spacing w:before="120" w:after="100" w:line="252" w:lineRule="auto"/>
        <w:jc w:val="right"/>
        <w:bidi w:val="1"/>
        <w:widowControl w:val="1"/>
      </w:pPr>
      <w:r>
        <w:rPr>
          <w:rFonts w:ascii="Noto Sans Arabic" w:hAnsi="Noto Sans Arabic" w:eastAsia="Noto Sans Arabic" w:cs="Noto Sans Arabic"/>
          <w:b/>
          <w:i w:val="0"/>
          <w:color w:val="1F4E79"/>
          <w:sz w:val="26"/>
          <w:rtl w:val="1"/>
        </w:rPr>
        <w:t>مسیر زمانی سناریوی پایه</w:t>
      </w:r>
    </w:p>
    <w:tbl>
      <w:tblPr>
        <w:tblW w:type="auto" w:w="0"/>
        <w:jc w:val="center"/>
        <w:tblLayout w:type="fixed"/>
        <w:tblLook w:firstColumn="1" w:firstRow="1" w:lastColumn="0" w:lastRow="0" w:noHBand="0" w:noVBand="1" w:val="04A0"/>
        <w:bidiVisual w:val="1"/>
        <w:tblBorders>
          <w:top w:val="single" w:sz="4" w:color="BFC7D1"/>
          <w:left w:val="single" w:sz="4" w:color="BFC7D1"/>
          <w:bottom w:val="single" w:sz="4" w:color="BFC7D1"/>
          <w:right w:val="single" w:sz="4" w:color="BFC7D1"/>
          <w:insideH w:val="single" w:sz="4" w:color="BFC7D1"/>
          <w:insideV w:val="single" w:sz="4" w:color="BFC7D1"/>
        </w:tblBorders>
      </w:tblPr>
      <w:tblGrid>
        <w:gridCol w:w="3307"/>
        <w:gridCol w:w="3307"/>
        <w:gridCol w:w="3307"/>
      </w:tblGrid>
      <w:tr>
        <w:trPr>
          <w:tblHeader w:val="true"/>
        </w:trPr>
        <w:tc>
          <w:tcPr>
            <w:tcW w:type="dxa" w:w="1757"/>
            <w:vAlign w:val="center"/>
            <w:tcMar>
              <w:top w:w="90" w:type="dxa"/>
              <w:start w:w="100" w:type="dxa"/>
              <w:bottom w:w="90" w:type="dxa"/>
              <w:end w:w="100" w:type="dxa"/>
            </w:tcMar>
            <w:shd w:fill="17365D"/>
          </w:tcPr>
          <w:p>
            <w:pPr>
              <w:keepNext w:val="0"/>
              <w:keepLines w:val="0"/>
              <w:spacing w:before="0" w:after="0" w:line="264" w:lineRule="auto"/>
              <w:jc w:val="center"/>
              <w:bidi w:val="1"/>
            </w:pPr>
            <w:r>
              <w:rPr>
                <w:rFonts w:ascii="Noto Sans Arabic" w:hAnsi="Noto Sans Arabic" w:eastAsia="Noto Sans Arabic" w:cs="Noto Sans Arabic"/>
                <w:b/>
                <w:i w:val="0"/>
                <w:color w:val="FFFFFF"/>
                <w:sz w:val="18"/>
              </w:rPr>
            </w:r>
            <w:r>
              <w:rPr>
                <w:rFonts w:ascii="Noto Sans Arabic" w:hAnsi="Noto Sans Arabic" w:eastAsia="Noto Sans Arabic" w:cs="Noto Sans Arabic"/>
                <w:b/>
                <w:i w:val="0"/>
                <w:color w:val="FFFFFF"/>
                <w:sz w:val="18"/>
                <w:rtl w:val="1"/>
              </w:rPr>
              <w:t>دوره</w:t>
            </w:r>
          </w:p>
        </w:tc>
        <w:tc>
          <w:tcPr>
            <w:tcW w:type="dxa" w:w="2268"/>
            <w:vAlign w:val="center"/>
            <w:tcMar>
              <w:top w:w="90" w:type="dxa"/>
              <w:start w:w="100" w:type="dxa"/>
              <w:bottom w:w="90" w:type="dxa"/>
              <w:end w:w="100" w:type="dxa"/>
            </w:tcMar>
            <w:shd w:fill="17365D"/>
          </w:tcPr>
          <w:p>
            <w:pPr>
              <w:keepNext w:val="0"/>
              <w:keepLines w:val="0"/>
              <w:spacing w:before="0" w:after="0" w:line="264" w:lineRule="auto"/>
              <w:jc w:val="center"/>
              <w:bidi w:val="1"/>
            </w:pPr>
            <w:r>
              <w:rPr>
                <w:rFonts w:ascii="Noto Sans Arabic" w:hAnsi="Noto Sans Arabic" w:eastAsia="Noto Sans Arabic" w:cs="Noto Sans Arabic"/>
                <w:b/>
                <w:i w:val="0"/>
                <w:color w:val="FFFFFF"/>
                <w:sz w:val="18"/>
              </w:rPr>
            </w:r>
            <w:r>
              <w:rPr>
                <w:rFonts w:ascii="Noto Sans Arabic" w:hAnsi="Noto Sans Arabic" w:eastAsia="Noto Sans Arabic" w:cs="Noto Sans Arabic"/>
                <w:b/>
                <w:i w:val="0"/>
                <w:color w:val="FFFFFF"/>
                <w:sz w:val="18"/>
                <w:rtl w:val="1"/>
              </w:rPr>
              <w:t>رشد واقعی محتمل</w:t>
            </w:r>
          </w:p>
        </w:tc>
        <w:tc>
          <w:tcPr>
            <w:tcW w:type="dxa" w:w="5159"/>
            <w:vAlign w:val="center"/>
            <w:tcMar>
              <w:top w:w="90" w:type="dxa"/>
              <w:start w:w="100" w:type="dxa"/>
              <w:bottom w:w="90" w:type="dxa"/>
              <w:end w:w="100" w:type="dxa"/>
            </w:tcMar>
            <w:shd w:fill="17365D"/>
          </w:tcPr>
          <w:p>
            <w:pPr>
              <w:keepNext w:val="0"/>
              <w:keepLines w:val="0"/>
              <w:spacing w:before="0" w:after="0" w:line="264" w:lineRule="auto"/>
              <w:jc w:val="center"/>
              <w:bidi w:val="1"/>
            </w:pPr>
            <w:r>
              <w:rPr>
                <w:rFonts w:ascii="Noto Sans Arabic" w:hAnsi="Noto Sans Arabic" w:eastAsia="Noto Sans Arabic" w:cs="Noto Sans Arabic"/>
                <w:b/>
                <w:i w:val="0"/>
                <w:color w:val="FFFFFF"/>
                <w:sz w:val="18"/>
              </w:rPr>
            </w:r>
            <w:r>
              <w:rPr>
                <w:rFonts w:ascii="Noto Sans Arabic" w:hAnsi="Noto Sans Arabic" w:eastAsia="Noto Sans Arabic" w:cs="Noto Sans Arabic"/>
                <w:b/>
                <w:i w:val="0"/>
                <w:color w:val="FFFFFF"/>
                <w:sz w:val="18"/>
                <w:rtl w:val="1"/>
              </w:rPr>
              <w:t>معنای اقتصادی</w:t>
            </w:r>
          </w:p>
        </w:tc>
      </w:tr>
      <w:tr>
        <w:tc>
          <w:tcPr>
            <w:tcW w:type="dxa" w:w="1757"/>
            <w:vAlign w:val="center"/>
            <w:tcMar>
              <w:top w:w="90" w:type="dxa"/>
              <w:start w:w="100" w:type="dxa"/>
              <w:bottom w:w="90" w:type="dxa"/>
              <w:end w:w="100" w:type="dxa"/>
            </w:tcMar>
            <w:shd w:fill="F8FAFC"/>
          </w:tcPr>
          <w:p>
            <w:pPr>
              <w:keepNext w:val="0"/>
              <w:keepLines w:val="0"/>
              <w:spacing w:before="0" w:after="0" w:line="264" w:lineRule="auto"/>
              <w:jc w:val="center"/>
              <w:bidi w:val="1"/>
            </w:pPr>
            <w:r/>
            <w:r>
              <w:rPr>
                <w:rFonts w:ascii="Noto Naskh Arabic" w:hAnsi="Noto Naskh Arabic" w:eastAsia="Noto Naskh Arabic" w:cs="Noto Naskh Arabic"/>
                <w:b/>
                <w:i w:val="0"/>
                <w:color w:val="1F4E79"/>
                <w:sz w:val="18"/>
                <w:rtl w:val="1"/>
              </w:rPr>
              <w:t>۲۰۲۶–۲۰۲۷</w:t>
            </w:r>
          </w:p>
        </w:tc>
        <w:tc>
          <w:tcPr>
            <w:tcW w:type="dxa" w:w="2268"/>
            <w:vAlign w:val="center"/>
            <w:tcMar>
              <w:top w:w="90" w:type="dxa"/>
              <w:start w:w="100" w:type="dxa"/>
              <w:bottom w:w="90" w:type="dxa"/>
              <w:end w:w="100" w:type="dxa"/>
            </w:tcMar>
            <w:shd w:fill="F8FAFC"/>
          </w:tcPr>
          <w:p>
            <w:pPr>
              <w:keepNext w:val="0"/>
              <w:keepLines w:val="0"/>
              <w:spacing w:before="0" w:after="0" w:line="264" w:lineRule="auto"/>
              <w:jc w:val="center"/>
              <w:bidi w:val="1"/>
            </w:pPr>
            <w:r/>
            <w:r>
              <w:rPr>
                <w:rFonts w:ascii="Noto Naskh Arabic" w:hAnsi="Noto Naskh Arabic" w:eastAsia="Noto Naskh Arabic" w:cs="Noto Naskh Arabic"/>
                <w:b/>
                <w:i w:val="0"/>
                <w:color w:val="2E7D32"/>
                <w:sz w:val="18"/>
                <w:rtl w:val="1"/>
              </w:rPr>
              <w:t>حدود ۵٫۴− تا صفر درصد</w:t>
            </w:r>
          </w:p>
        </w:tc>
        <w:tc>
          <w:tcPr>
            <w:tcW w:type="dxa" w:w="5159"/>
            <w:vAlign w:val="center"/>
            <w:tcMar>
              <w:top w:w="90" w:type="dxa"/>
              <w:start w:w="100" w:type="dxa"/>
              <w:bottom w:w="90" w:type="dxa"/>
              <w:end w:w="100" w:type="dxa"/>
            </w:tcMar>
            <w:shd w:fill="F8FAFC"/>
          </w:tcPr>
          <w:p>
            <w:pPr>
              <w:keepNext w:val="0"/>
              <w:keepLines w:val="0"/>
              <w:spacing w:before="0" w:after="0" w:line="264" w:lineRule="auto"/>
              <w:jc w:val="right"/>
              <w:bidi w:val="1"/>
            </w:pPr>
            <w:r/>
            <w:r>
              <w:rPr>
                <w:rFonts w:ascii="Noto Naskh Arabic" w:hAnsi="Noto Naskh Arabic" w:eastAsia="Noto Naskh Arabic" w:cs="Noto Naskh Arabic"/>
                <w:b w:val="0"/>
                <w:i w:val="0"/>
                <w:color w:val="1F2937"/>
                <w:sz w:val="17"/>
                <w:rtl w:val="1"/>
              </w:rPr>
              <w:t>پایان جنگ، مهار تورم، حفظ خدمات، پرداخت حقوق و پاک‌سازی ترازنامهٔ بانک‌ها.</w:t>
            </w:r>
          </w:p>
        </w:tc>
      </w:tr>
      <w:tr>
        <w:tc>
          <w:tcPr>
            <w:tcW w:type="dxa" w:w="1757"/>
            <w:vAlign w:val="center"/>
            <w:tcMar>
              <w:top w:w="90" w:type="dxa"/>
              <w:start w:w="100" w:type="dxa"/>
              <w:bottom w:w="90" w:type="dxa"/>
              <w:end w:w="100" w:type="dxa"/>
            </w:tcMar>
            <w:shd w:fill="FFFFFF"/>
          </w:tcPr>
          <w:p>
            <w:pPr>
              <w:keepNext w:val="0"/>
              <w:keepLines w:val="0"/>
              <w:spacing w:before="0" w:after="0" w:line="264" w:lineRule="auto"/>
              <w:jc w:val="center"/>
              <w:bidi w:val="1"/>
            </w:pPr>
            <w:r/>
            <w:r>
              <w:rPr>
                <w:rFonts w:ascii="Noto Naskh Arabic" w:hAnsi="Noto Naskh Arabic" w:eastAsia="Noto Naskh Arabic" w:cs="Noto Naskh Arabic"/>
                <w:b/>
                <w:i w:val="0"/>
                <w:color w:val="1F4E79"/>
                <w:sz w:val="18"/>
                <w:rtl w:val="1"/>
              </w:rPr>
              <w:t>۲۰۲۸–۲۰۲۹</w:t>
            </w:r>
          </w:p>
        </w:tc>
        <w:tc>
          <w:tcPr>
            <w:tcW w:type="dxa" w:w="2268"/>
            <w:vAlign w:val="center"/>
            <w:tcMar>
              <w:top w:w="90" w:type="dxa"/>
              <w:start w:w="100" w:type="dxa"/>
              <w:bottom w:w="90" w:type="dxa"/>
              <w:end w:w="100" w:type="dxa"/>
            </w:tcMar>
            <w:shd w:fill="FFFFFF"/>
          </w:tcPr>
          <w:p>
            <w:pPr>
              <w:keepNext w:val="0"/>
              <w:keepLines w:val="0"/>
              <w:spacing w:before="0" w:after="0" w:line="264" w:lineRule="auto"/>
              <w:jc w:val="center"/>
              <w:bidi w:val="1"/>
            </w:pPr>
            <w:r/>
            <w:r>
              <w:rPr>
                <w:rFonts w:ascii="Noto Naskh Arabic" w:hAnsi="Noto Naskh Arabic" w:eastAsia="Noto Naskh Arabic" w:cs="Noto Naskh Arabic"/>
                <w:b/>
                <w:i w:val="0"/>
                <w:color w:val="2E7D32"/>
                <w:sz w:val="18"/>
                <w:rtl w:val="1"/>
              </w:rPr>
              <w:t>۲ تا ۵ درصد</w:t>
            </w:r>
          </w:p>
        </w:tc>
        <w:tc>
          <w:tcPr>
            <w:tcW w:type="dxa" w:w="5159"/>
            <w:vAlign w:val="center"/>
            <w:tcMar>
              <w:top w:w="90" w:type="dxa"/>
              <w:start w:w="100" w:type="dxa"/>
              <w:bottom w:w="90" w:type="dxa"/>
              <w:end w:w="100" w:type="dxa"/>
            </w:tcMar>
            <w:shd w:fill="FFFFFF"/>
          </w:tcPr>
          <w:p>
            <w:pPr>
              <w:keepNext w:val="0"/>
              <w:keepLines w:val="0"/>
              <w:spacing w:before="0" w:after="0" w:line="264" w:lineRule="auto"/>
              <w:jc w:val="right"/>
              <w:bidi w:val="1"/>
            </w:pPr>
            <w:r/>
            <w:r>
              <w:rPr>
                <w:rFonts w:ascii="Noto Naskh Arabic" w:hAnsi="Noto Naskh Arabic" w:eastAsia="Noto Naskh Arabic" w:cs="Noto Naskh Arabic"/>
                <w:b w:val="0"/>
                <w:i w:val="0"/>
                <w:color w:val="1F2937"/>
                <w:sz w:val="17"/>
                <w:rtl w:val="1"/>
              </w:rPr>
              <w:t>ثبات پولی، آغاز رفع تحریم، بازگشت تجارت، بیمهٔ ریسک و سرمایه‌گذاری اولیه.</w:t>
            </w:r>
          </w:p>
        </w:tc>
      </w:tr>
      <w:tr>
        <w:tc>
          <w:tcPr>
            <w:tcW w:type="dxa" w:w="1757"/>
            <w:vAlign w:val="center"/>
            <w:tcMar>
              <w:top w:w="90" w:type="dxa"/>
              <w:start w:w="100" w:type="dxa"/>
              <w:bottom w:w="90" w:type="dxa"/>
              <w:end w:w="100" w:type="dxa"/>
            </w:tcMar>
            <w:shd w:fill="F8FAFC"/>
          </w:tcPr>
          <w:p>
            <w:pPr>
              <w:keepNext w:val="0"/>
              <w:keepLines w:val="0"/>
              <w:spacing w:before="0" w:after="0" w:line="264" w:lineRule="auto"/>
              <w:jc w:val="center"/>
              <w:bidi w:val="1"/>
            </w:pPr>
            <w:r/>
            <w:r>
              <w:rPr>
                <w:rFonts w:ascii="Noto Naskh Arabic" w:hAnsi="Noto Naskh Arabic" w:eastAsia="Noto Naskh Arabic" w:cs="Noto Naskh Arabic"/>
                <w:b/>
                <w:i w:val="0"/>
                <w:color w:val="1F4E79"/>
                <w:sz w:val="18"/>
                <w:rtl w:val="1"/>
              </w:rPr>
              <w:t>۲۰۳۰–۲۰۳۵</w:t>
            </w:r>
          </w:p>
        </w:tc>
        <w:tc>
          <w:tcPr>
            <w:tcW w:type="dxa" w:w="2268"/>
            <w:vAlign w:val="center"/>
            <w:tcMar>
              <w:top w:w="90" w:type="dxa"/>
              <w:start w:w="100" w:type="dxa"/>
              <w:bottom w:w="90" w:type="dxa"/>
              <w:end w:w="100" w:type="dxa"/>
            </w:tcMar>
            <w:shd w:fill="F8FAFC"/>
          </w:tcPr>
          <w:p>
            <w:pPr>
              <w:keepNext w:val="0"/>
              <w:keepLines w:val="0"/>
              <w:spacing w:before="0" w:after="0" w:line="264" w:lineRule="auto"/>
              <w:jc w:val="center"/>
              <w:bidi w:val="1"/>
            </w:pPr>
            <w:r/>
            <w:r>
              <w:rPr>
                <w:rFonts w:ascii="Noto Naskh Arabic" w:hAnsi="Noto Naskh Arabic" w:eastAsia="Noto Naskh Arabic" w:cs="Noto Naskh Arabic"/>
                <w:b/>
                <w:i w:val="0"/>
                <w:color w:val="2E7D32"/>
                <w:sz w:val="18"/>
                <w:rtl w:val="1"/>
              </w:rPr>
              <w:t>۶ تا ۸ درصد</w:t>
            </w:r>
          </w:p>
        </w:tc>
        <w:tc>
          <w:tcPr>
            <w:tcW w:type="dxa" w:w="5159"/>
            <w:vAlign w:val="center"/>
            <w:tcMar>
              <w:top w:w="90" w:type="dxa"/>
              <w:start w:w="100" w:type="dxa"/>
              <w:bottom w:w="90" w:type="dxa"/>
              <w:end w:w="100" w:type="dxa"/>
            </w:tcMar>
            <w:shd w:fill="F8FAFC"/>
          </w:tcPr>
          <w:p>
            <w:pPr>
              <w:keepNext w:val="0"/>
              <w:keepLines w:val="0"/>
              <w:spacing w:before="0" w:after="0" w:line="264" w:lineRule="auto"/>
              <w:jc w:val="right"/>
              <w:bidi w:val="1"/>
            </w:pPr>
            <w:r/>
            <w:r>
              <w:rPr>
                <w:rFonts w:ascii="Noto Naskh Arabic" w:hAnsi="Noto Naskh Arabic" w:eastAsia="Noto Naskh Arabic" w:cs="Noto Naskh Arabic"/>
                <w:b w:val="0"/>
                <w:i w:val="0"/>
                <w:color w:val="1F2937"/>
                <w:sz w:val="17"/>
                <w:rtl w:val="1"/>
              </w:rPr>
              <w:t>موج بازسازی، زیرساخت، سرمایهٔ دیاسپورا، رقابت و جهش شومپتری.</w:t>
            </w:r>
          </w:p>
        </w:tc>
      </w:tr>
      <w:tr>
        <w:tc>
          <w:tcPr>
            <w:tcW w:type="dxa" w:w="1757"/>
            <w:vAlign w:val="center"/>
            <w:tcMar>
              <w:top w:w="90" w:type="dxa"/>
              <w:start w:w="100" w:type="dxa"/>
              <w:bottom w:w="90" w:type="dxa"/>
              <w:end w:w="100" w:type="dxa"/>
            </w:tcMar>
            <w:shd w:fill="FFFFFF"/>
          </w:tcPr>
          <w:p>
            <w:pPr>
              <w:keepNext w:val="0"/>
              <w:keepLines w:val="0"/>
              <w:spacing w:before="0" w:after="0" w:line="264" w:lineRule="auto"/>
              <w:jc w:val="center"/>
              <w:bidi w:val="1"/>
            </w:pPr>
            <w:r/>
            <w:r>
              <w:rPr>
                <w:rFonts w:ascii="Noto Naskh Arabic" w:hAnsi="Noto Naskh Arabic" w:eastAsia="Noto Naskh Arabic" w:cs="Noto Naskh Arabic"/>
                <w:b/>
                <w:i w:val="0"/>
                <w:color w:val="1F4E79"/>
                <w:sz w:val="18"/>
                <w:rtl w:val="1"/>
              </w:rPr>
              <w:t>۲۰۳۶–۲۰۴۰</w:t>
            </w:r>
          </w:p>
        </w:tc>
        <w:tc>
          <w:tcPr>
            <w:tcW w:type="dxa" w:w="2268"/>
            <w:vAlign w:val="center"/>
            <w:tcMar>
              <w:top w:w="90" w:type="dxa"/>
              <w:start w:w="100" w:type="dxa"/>
              <w:bottom w:w="90" w:type="dxa"/>
              <w:end w:w="100" w:type="dxa"/>
            </w:tcMar>
            <w:shd w:fill="FFFFFF"/>
          </w:tcPr>
          <w:p>
            <w:pPr>
              <w:keepNext w:val="0"/>
              <w:keepLines w:val="0"/>
              <w:spacing w:before="0" w:after="0" w:line="264" w:lineRule="auto"/>
              <w:jc w:val="center"/>
              <w:bidi w:val="1"/>
            </w:pPr>
            <w:r/>
            <w:r>
              <w:rPr>
                <w:rFonts w:ascii="Noto Naskh Arabic" w:hAnsi="Noto Naskh Arabic" w:eastAsia="Noto Naskh Arabic" w:cs="Noto Naskh Arabic"/>
                <w:b/>
                <w:i w:val="0"/>
                <w:color w:val="2E7D32"/>
                <w:sz w:val="18"/>
                <w:rtl w:val="1"/>
              </w:rPr>
              <w:t>۵ تا ۶٫۵ درصد</w:t>
            </w:r>
          </w:p>
        </w:tc>
        <w:tc>
          <w:tcPr>
            <w:tcW w:type="dxa" w:w="5159"/>
            <w:vAlign w:val="center"/>
            <w:tcMar>
              <w:top w:w="90" w:type="dxa"/>
              <w:start w:w="100" w:type="dxa"/>
              <w:bottom w:w="90" w:type="dxa"/>
              <w:end w:w="100" w:type="dxa"/>
            </w:tcMar>
            <w:shd w:fill="FFFFFF"/>
          </w:tcPr>
          <w:p>
            <w:pPr>
              <w:keepNext w:val="0"/>
              <w:keepLines w:val="0"/>
              <w:spacing w:before="0" w:after="0" w:line="264" w:lineRule="auto"/>
              <w:jc w:val="right"/>
              <w:bidi w:val="1"/>
            </w:pPr>
            <w:r/>
            <w:r>
              <w:rPr>
                <w:rFonts w:ascii="Noto Naskh Arabic" w:hAnsi="Noto Naskh Arabic" w:eastAsia="Noto Naskh Arabic" w:cs="Noto Naskh Arabic"/>
                <w:b w:val="0"/>
                <w:i w:val="0"/>
                <w:color w:val="1F2937"/>
                <w:sz w:val="17"/>
                <w:rtl w:val="1"/>
              </w:rPr>
              <w:t>رشد بهره‌وری، صنعت پیشرفته، فناوری، زنجیرهٔ ارزش و صادرات غیرنفتی.</w:t>
            </w:r>
          </w:p>
        </w:tc>
      </w:tr>
      <w:tr>
        <w:tc>
          <w:tcPr>
            <w:tcW w:type="dxa" w:w="1757"/>
            <w:vAlign w:val="center"/>
            <w:tcMar>
              <w:top w:w="90" w:type="dxa"/>
              <w:start w:w="100" w:type="dxa"/>
              <w:bottom w:w="90" w:type="dxa"/>
              <w:end w:w="100" w:type="dxa"/>
            </w:tcMar>
            <w:shd w:fill="F8FAFC"/>
          </w:tcPr>
          <w:p>
            <w:pPr>
              <w:keepNext w:val="0"/>
              <w:keepLines w:val="0"/>
              <w:spacing w:before="0" w:after="0" w:line="264" w:lineRule="auto"/>
              <w:jc w:val="center"/>
              <w:bidi w:val="1"/>
            </w:pPr>
            <w:r/>
            <w:r>
              <w:rPr>
                <w:rFonts w:ascii="Noto Naskh Arabic" w:hAnsi="Noto Naskh Arabic" w:eastAsia="Noto Naskh Arabic" w:cs="Noto Naskh Arabic"/>
                <w:b/>
                <w:i w:val="0"/>
                <w:color w:val="1F4E79"/>
                <w:sz w:val="18"/>
                <w:rtl w:val="1"/>
              </w:rPr>
              <w:t>۲۰۴۱–۲۰۵۰</w:t>
            </w:r>
          </w:p>
        </w:tc>
        <w:tc>
          <w:tcPr>
            <w:tcW w:type="dxa" w:w="2268"/>
            <w:vAlign w:val="center"/>
            <w:tcMar>
              <w:top w:w="90" w:type="dxa"/>
              <w:start w:w="100" w:type="dxa"/>
              <w:bottom w:w="90" w:type="dxa"/>
              <w:end w:w="100" w:type="dxa"/>
            </w:tcMar>
            <w:shd w:fill="F8FAFC"/>
          </w:tcPr>
          <w:p>
            <w:pPr>
              <w:keepNext w:val="0"/>
              <w:keepLines w:val="0"/>
              <w:spacing w:before="0" w:after="0" w:line="264" w:lineRule="auto"/>
              <w:jc w:val="center"/>
              <w:bidi w:val="1"/>
            </w:pPr>
            <w:r/>
            <w:r>
              <w:rPr>
                <w:rFonts w:ascii="Noto Naskh Arabic" w:hAnsi="Noto Naskh Arabic" w:eastAsia="Noto Naskh Arabic" w:cs="Noto Naskh Arabic"/>
                <w:b/>
                <w:i w:val="0"/>
                <w:color w:val="2E7D32"/>
                <w:sz w:val="18"/>
                <w:rtl w:val="1"/>
              </w:rPr>
              <w:t>۳٫۵ تا ۵ درصد</w:t>
            </w:r>
          </w:p>
        </w:tc>
        <w:tc>
          <w:tcPr>
            <w:tcW w:type="dxa" w:w="5159"/>
            <w:vAlign w:val="center"/>
            <w:tcMar>
              <w:top w:w="90" w:type="dxa"/>
              <w:start w:w="100" w:type="dxa"/>
              <w:bottom w:w="90" w:type="dxa"/>
              <w:end w:w="100" w:type="dxa"/>
            </w:tcMar>
            <w:shd w:fill="F8FAFC"/>
          </w:tcPr>
          <w:p>
            <w:pPr>
              <w:keepNext w:val="0"/>
              <w:keepLines w:val="0"/>
              <w:spacing w:before="0" w:after="0" w:line="264" w:lineRule="auto"/>
              <w:jc w:val="right"/>
              <w:bidi w:val="1"/>
            </w:pPr>
            <w:r/>
            <w:r>
              <w:rPr>
                <w:rFonts w:ascii="Noto Naskh Arabic" w:hAnsi="Noto Naskh Arabic" w:eastAsia="Noto Naskh Arabic" w:cs="Noto Naskh Arabic"/>
                <w:b w:val="0"/>
                <w:i w:val="0"/>
                <w:color w:val="1F2937"/>
                <w:sz w:val="17"/>
                <w:rtl w:val="1"/>
              </w:rPr>
              <w:t>اقتصاد بالغ‌تر، نوآوری پایدار و نزدیک شدن تدریجی به سطح کشورهای پردرآمد.</w:t>
            </w:r>
          </w:p>
        </w:tc>
      </w:tr>
    </w:tbl>
    <w:p>
      <w:pPr>
        <w:keepNext w:val="0"/>
        <w:keepLines w:val="0"/>
        <w:spacing w:before="60" w:after="140" w:line="240" w:lineRule="auto"/>
        <w:jc w:val="center"/>
        <w:bidi w:val="1"/>
        <w:widowControl w:val="1"/>
      </w:pPr>
      <w:r>
        <w:rPr>
          <w:rFonts w:ascii="Noto Naskh Arabic" w:hAnsi="Noto Naskh Arabic" w:eastAsia="Noto Naskh Arabic" w:cs="Noto Naskh Arabic"/>
          <w:b w:val="0"/>
          <w:i/>
          <w:color w:val="6B7280"/>
          <w:sz w:val="18"/>
          <w:rtl w:val="1"/>
        </w:rPr>
        <w:t>جدول ۳. مسیر زمانی فرضی رشد واقعی در سناریوی پایه.</w:t>
      </w:r>
    </w:p>
    <w:p>
      <w:pPr>
        <w:pStyle w:val="Heading2"/>
        <w:keepNext/>
        <w:keepLines w:val="0"/>
        <w:spacing w:before="120" w:after="100" w:line="252" w:lineRule="auto"/>
        <w:jc w:val="right"/>
        <w:bidi w:val="1"/>
        <w:widowControl w:val="1"/>
      </w:pPr>
      <w:r>
        <w:rPr>
          <w:rFonts w:ascii="Noto Sans Arabic" w:hAnsi="Noto Sans Arabic" w:eastAsia="Noto Sans Arabic" w:cs="Noto Sans Arabic"/>
          <w:b/>
          <w:i w:val="0"/>
          <w:color w:val="1F4E79"/>
          <w:sz w:val="26"/>
          <w:rtl w:val="1"/>
        </w:rPr>
        <w:t>سه سناریوی عددی تا ۲۰۵۰</w:t>
      </w:r>
    </w:p>
    <w:tbl>
      <w:tblPr>
        <w:tblW w:type="auto" w:w="0"/>
        <w:jc w:val="center"/>
        <w:tblLayout w:type="fixed"/>
        <w:tblLook w:firstColumn="1" w:firstRow="1" w:lastColumn="0" w:lastRow="0" w:noHBand="0" w:noVBand="1" w:val="04A0"/>
        <w:bidiVisual w:val="1"/>
        <w:tblBorders>
          <w:top w:val="single" w:sz="4" w:color="BFC7D1"/>
          <w:left w:val="single" w:sz="4" w:color="BFC7D1"/>
          <w:bottom w:val="single" w:sz="4" w:color="BFC7D1"/>
          <w:right w:val="single" w:sz="4" w:color="BFC7D1"/>
          <w:insideH w:val="single" w:sz="4" w:color="BFC7D1"/>
          <w:insideV w:val="single" w:sz="4" w:color="BFC7D1"/>
        </w:tblBorders>
      </w:tblPr>
      <w:tblGrid>
        <w:gridCol w:w="1984"/>
        <w:gridCol w:w="1984"/>
        <w:gridCol w:w="1984"/>
        <w:gridCol w:w="1984"/>
        <w:gridCol w:w="1984"/>
      </w:tblGrid>
      <w:tr>
        <w:trPr>
          <w:tblHeader w:val="true"/>
        </w:trPr>
        <w:tc>
          <w:tcPr>
            <w:tcW w:type="dxa" w:w="1871"/>
            <w:vAlign w:val="center"/>
            <w:tcMar>
              <w:top w:w="90" w:type="dxa"/>
              <w:start w:w="100" w:type="dxa"/>
              <w:bottom w:w="90" w:type="dxa"/>
              <w:end w:w="100" w:type="dxa"/>
            </w:tcMar>
            <w:shd w:fill="2E7D32"/>
          </w:tcPr>
          <w:p>
            <w:pPr>
              <w:keepNext w:val="0"/>
              <w:keepLines w:val="0"/>
              <w:spacing w:before="0" w:after="0" w:line="264" w:lineRule="auto"/>
              <w:jc w:val="center"/>
              <w:bidi w:val="1"/>
            </w:pPr>
            <w:r>
              <w:rPr>
                <w:rFonts w:ascii="Noto Sans Arabic" w:hAnsi="Noto Sans Arabic" w:eastAsia="Noto Sans Arabic" w:cs="Noto Sans Arabic"/>
                <w:b/>
                <w:i w:val="0"/>
                <w:color w:val="FFFFFF"/>
                <w:sz w:val="18"/>
              </w:rPr>
            </w:r>
            <w:r>
              <w:rPr>
                <w:rFonts w:ascii="Noto Sans Arabic" w:hAnsi="Noto Sans Arabic" w:eastAsia="Noto Sans Arabic" w:cs="Noto Sans Arabic"/>
                <w:b/>
                <w:i w:val="0"/>
                <w:color w:val="FFFFFF"/>
                <w:sz w:val="18"/>
                <w:rtl w:val="1"/>
              </w:rPr>
              <w:t>سناریو</w:t>
            </w:r>
          </w:p>
        </w:tc>
        <w:tc>
          <w:tcPr>
            <w:tcW w:type="dxa" w:w="1701"/>
            <w:vAlign w:val="center"/>
            <w:tcMar>
              <w:top w:w="90" w:type="dxa"/>
              <w:start w:w="100" w:type="dxa"/>
              <w:bottom w:w="90" w:type="dxa"/>
              <w:end w:w="100" w:type="dxa"/>
            </w:tcMar>
            <w:shd w:fill="2E7D32"/>
          </w:tcPr>
          <w:p>
            <w:pPr>
              <w:keepNext w:val="0"/>
              <w:keepLines w:val="0"/>
              <w:spacing w:before="0" w:after="0" w:line="264" w:lineRule="auto"/>
              <w:jc w:val="center"/>
              <w:bidi w:val="1"/>
            </w:pPr>
            <w:r>
              <w:rPr>
                <w:rFonts w:ascii="Noto Sans Arabic" w:hAnsi="Noto Sans Arabic" w:eastAsia="Noto Sans Arabic" w:cs="Noto Sans Arabic"/>
                <w:b/>
                <w:i w:val="0"/>
                <w:color w:val="FFFFFF"/>
                <w:sz w:val="18"/>
              </w:rPr>
            </w:r>
            <w:r>
              <w:rPr>
                <w:rFonts w:ascii="Noto Sans Arabic" w:hAnsi="Noto Sans Arabic" w:eastAsia="Noto Sans Arabic" w:cs="Noto Sans Arabic"/>
                <w:b/>
                <w:i w:val="0"/>
                <w:color w:val="FFFFFF"/>
                <w:sz w:val="18"/>
                <w:rtl w:val="1"/>
              </w:rPr>
              <w:t>سرانهٔ ۲۰۳۰</w:t>
            </w:r>
          </w:p>
        </w:tc>
        <w:tc>
          <w:tcPr>
            <w:tcW w:type="dxa" w:w="1701"/>
            <w:vAlign w:val="center"/>
            <w:tcMar>
              <w:top w:w="90" w:type="dxa"/>
              <w:start w:w="100" w:type="dxa"/>
              <w:bottom w:w="90" w:type="dxa"/>
              <w:end w:w="100" w:type="dxa"/>
            </w:tcMar>
            <w:shd w:fill="2E7D32"/>
          </w:tcPr>
          <w:p>
            <w:pPr>
              <w:keepNext w:val="0"/>
              <w:keepLines w:val="0"/>
              <w:spacing w:before="0" w:after="0" w:line="264" w:lineRule="auto"/>
              <w:jc w:val="center"/>
              <w:bidi w:val="1"/>
            </w:pPr>
            <w:r>
              <w:rPr>
                <w:rFonts w:ascii="Noto Sans Arabic" w:hAnsi="Noto Sans Arabic" w:eastAsia="Noto Sans Arabic" w:cs="Noto Sans Arabic"/>
                <w:b/>
                <w:i w:val="0"/>
                <w:color w:val="FFFFFF"/>
                <w:sz w:val="18"/>
              </w:rPr>
            </w:r>
            <w:r>
              <w:rPr>
                <w:rFonts w:ascii="Noto Sans Arabic" w:hAnsi="Noto Sans Arabic" w:eastAsia="Noto Sans Arabic" w:cs="Noto Sans Arabic"/>
                <w:b/>
                <w:i w:val="0"/>
                <w:color w:val="FFFFFF"/>
                <w:sz w:val="18"/>
                <w:rtl w:val="1"/>
              </w:rPr>
              <w:t>سرانهٔ ۲۰۴۰</w:t>
            </w:r>
          </w:p>
        </w:tc>
        <w:tc>
          <w:tcPr>
            <w:tcW w:type="dxa" w:w="1701"/>
            <w:vAlign w:val="center"/>
            <w:tcMar>
              <w:top w:w="90" w:type="dxa"/>
              <w:start w:w="100" w:type="dxa"/>
              <w:bottom w:w="90" w:type="dxa"/>
              <w:end w:w="100" w:type="dxa"/>
            </w:tcMar>
            <w:shd w:fill="2E7D32"/>
          </w:tcPr>
          <w:p>
            <w:pPr>
              <w:keepNext w:val="0"/>
              <w:keepLines w:val="0"/>
              <w:spacing w:before="0" w:after="0" w:line="264" w:lineRule="auto"/>
              <w:jc w:val="center"/>
              <w:bidi w:val="1"/>
            </w:pPr>
            <w:r>
              <w:rPr>
                <w:rFonts w:ascii="Noto Sans Arabic" w:hAnsi="Noto Sans Arabic" w:eastAsia="Noto Sans Arabic" w:cs="Noto Sans Arabic"/>
                <w:b/>
                <w:i w:val="0"/>
                <w:color w:val="FFFFFF"/>
                <w:sz w:val="18"/>
              </w:rPr>
            </w:r>
            <w:r>
              <w:rPr>
                <w:rFonts w:ascii="Noto Sans Arabic" w:hAnsi="Noto Sans Arabic" w:eastAsia="Noto Sans Arabic" w:cs="Noto Sans Arabic"/>
                <w:b/>
                <w:i w:val="0"/>
                <w:color w:val="FFFFFF"/>
                <w:sz w:val="18"/>
                <w:rtl w:val="1"/>
              </w:rPr>
              <w:t>سرانهٔ ۲۰۵۰</w:t>
            </w:r>
          </w:p>
        </w:tc>
        <w:tc>
          <w:tcPr>
            <w:tcW w:type="dxa" w:w="2211"/>
            <w:vAlign w:val="center"/>
            <w:tcMar>
              <w:top w:w="90" w:type="dxa"/>
              <w:start w:w="100" w:type="dxa"/>
              <w:bottom w:w="90" w:type="dxa"/>
              <w:end w:w="100" w:type="dxa"/>
            </w:tcMar>
            <w:shd w:fill="2E7D32"/>
          </w:tcPr>
          <w:p>
            <w:pPr>
              <w:keepNext w:val="0"/>
              <w:keepLines w:val="0"/>
              <w:spacing w:before="0" w:after="0" w:line="264" w:lineRule="auto"/>
              <w:jc w:val="center"/>
              <w:bidi w:val="1"/>
            </w:pPr>
            <w:r>
              <w:rPr>
                <w:rFonts w:ascii="Noto Sans Arabic" w:hAnsi="Noto Sans Arabic" w:eastAsia="Noto Sans Arabic" w:cs="Noto Sans Arabic"/>
                <w:b/>
                <w:i w:val="0"/>
                <w:color w:val="FFFFFF"/>
                <w:sz w:val="18"/>
              </w:rPr>
            </w:r>
            <w:r>
              <w:rPr>
                <w:rFonts w:ascii="Noto Sans Arabic" w:hAnsi="Noto Sans Arabic" w:eastAsia="Noto Sans Arabic" w:cs="Noto Sans Arabic"/>
                <w:b/>
                <w:i w:val="0"/>
                <w:color w:val="FFFFFF"/>
                <w:sz w:val="18"/>
                <w:rtl w:val="1"/>
              </w:rPr>
              <w:t>متوسط رشد واقعی سرانه</w:t>
            </w:r>
          </w:p>
        </w:tc>
      </w:tr>
      <w:tr>
        <w:tc>
          <w:tcPr>
            <w:tcW w:type="dxa" w:w="1871"/>
            <w:vAlign w:val="center"/>
            <w:tcMar>
              <w:top w:w="90" w:type="dxa"/>
              <w:start w:w="100" w:type="dxa"/>
              <w:bottom w:w="90" w:type="dxa"/>
              <w:end w:w="100" w:type="dxa"/>
            </w:tcMar>
            <w:shd w:fill="F5FAF6"/>
          </w:tcPr>
          <w:p>
            <w:pPr>
              <w:keepNext w:val="0"/>
              <w:keepLines w:val="0"/>
              <w:spacing w:before="0" w:after="0" w:line="264" w:lineRule="auto"/>
              <w:jc w:val="center"/>
              <w:bidi w:val="1"/>
            </w:pPr>
            <w:r/>
            <w:r>
              <w:rPr>
                <w:rFonts w:ascii="Noto Naskh Arabic" w:hAnsi="Noto Naskh Arabic" w:eastAsia="Noto Naskh Arabic" w:cs="Noto Naskh Arabic"/>
                <w:b/>
                <w:i w:val="0"/>
                <w:color w:val="1F2937"/>
                <w:sz w:val="17"/>
                <w:rtl w:val="1"/>
              </w:rPr>
              <w:t>محافظه‌کارانه</w:t>
            </w:r>
          </w:p>
        </w:tc>
        <w:tc>
          <w:tcPr>
            <w:tcW w:type="dxa" w:w="1701"/>
            <w:vAlign w:val="center"/>
            <w:tcMar>
              <w:top w:w="90" w:type="dxa"/>
              <w:start w:w="100" w:type="dxa"/>
              <w:bottom w:w="90" w:type="dxa"/>
              <w:end w:w="100" w:type="dxa"/>
            </w:tcMar>
            <w:shd w:fill="F5FAF6"/>
          </w:tcPr>
          <w:p>
            <w:pPr>
              <w:keepNext w:val="0"/>
              <w:keepLines w:val="0"/>
              <w:spacing w:before="0" w:after="0" w:line="264" w:lineRule="auto"/>
              <w:jc w:val="center"/>
              <w:bidi w:val="1"/>
            </w:pPr>
            <w:r/>
            <w:r>
              <w:rPr>
                <w:rFonts w:ascii="Noto Naskh Arabic" w:hAnsi="Noto Naskh Arabic" w:eastAsia="Noto Naskh Arabic" w:cs="Noto Naskh Arabic"/>
                <w:b w:val="0"/>
                <w:i w:val="0"/>
                <w:color w:val="1F2937"/>
                <w:sz w:val="17"/>
                <w:rtl w:val="1"/>
              </w:rPr>
              <w:t>≈ ۵٬۳۵۰</w:t>
            </w:r>
          </w:p>
        </w:tc>
        <w:tc>
          <w:tcPr>
            <w:tcW w:type="dxa" w:w="1701"/>
            <w:vAlign w:val="center"/>
            <w:tcMar>
              <w:top w:w="90" w:type="dxa"/>
              <w:start w:w="100" w:type="dxa"/>
              <w:bottom w:w="90" w:type="dxa"/>
              <w:end w:w="100" w:type="dxa"/>
            </w:tcMar>
            <w:shd w:fill="F5FAF6"/>
          </w:tcPr>
          <w:p>
            <w:pPr>
              <w:keepNext w:val="0"/>
              <w:keepLines w:val="0"/>
              <w:spacing w:before="0" w:after="0" w:line="264" w:lineRule="auto"/>
              <w:jc w:val="center"/>
              <w:bidi w:val="1"/>
            </w:pPr>
            <w:r/>
            <w:r>
              <w:rPr>
                <w:rFonts w:ascii="Noto Naskh Arabic" w:hAnsi="Noto Naskh Arabic" w:eastAsia="Noto Naskh Arabic" w:cs="Noto Naskh Arabic"/>
                <w:b w:val="0"/>
                <w:i w:val="0"/>
                <w:color w:val="1F2937"/>
                <w:sz w:val="17"/>
                <w:rtl w:val="1"/>
              </w:rPr>
              <w:t>≈ ۷٬۳۳۰</w:t>
            </w:r>
          </w:p>
        </w:tc>
        <w:tc>
          <w:tcPr>
            <w:tcW w:type="dxa" w:w="1701"/>
            <w:vAlign w:val="center"/>
            <w:tcMar>
              <w:top w:w="90" w:type="dxa"/>
              <w:start w:w="100" w:type="dxa"/>
              <w:bottom w:w="90" w:type="dxa"/>
              <w:end w:w="100" w:type="dxa"/>
            </w:tcMar>
            <w:shd w:fill="F5FAF6"/>
          </w:tcPr>
          <w:p>
            <w:pPr>
              <w:keepNext w:val="0"/>
              <w:keepLines w:val="0"/>
              <w:spacing w:before="0" w:after="0" w:line="264" w:lineRule="auto"/>
              <w:jc w:val="center"/>
              <w:bidi w:val="1"/>
            </w:pPr>
            <w:r/>
            <w:r>
              <w:rPr>
                <w:rFonts w:ascii="Noto Naskh Arabic" w:hAnsi="Noto Naskh Arabic" w:eastAsia="Noto Naskh Arabic" w:cs="Noto Naskh Arabic"/>
                <w:b/>
                <w:i w:val="0"/>
                <w:color w:val="2E7D32"/>
                <w:sz w:val="17"/>
                <w:rtl w:val="1"/>
              </w:rPr>
              <w:t>≈ ۹٬۴۰۰</w:t>
            </w:r>
          </w:p>
        </w:tc>
        <w:tc>
          <w:tcPr>
            <w:tcW w:type="dxa" w:w="2211"/>
            <w:vAlign w:val="center"/>
            <w:tcMar>
              <w:top w:w="90" w:type="dxa"/>
              <w:start w:w="100" w:type="dxa"/>
              <w:bottom w:w="90" w:type="dxa"/>
              <w:end w:w="100" w:type="dxa"/>
            </w:tcMar>
            <w:shd w:fill="F5FAF6"/>
          </w:tcPr>
          <w:p>
            <w:pPr>
              <w:keepNext w:val="0"/>
              <w:keepLines w:val="0"/>
              <w:spacing w:before="0" w:after="0" w:line="264" w:lineRule="auto"/>
              <w:jc w:val="center"/>
              <w:bidi w:val="1"/>
            </w:pPr>
            <w:r/>
            <w:r>
              <w:rPr>
                <w:rFonts w:ascii="Noto Naskh Arabic" w:hAnsi="Noto Naskh Arabic" w:eastAsia="Noto Naskh Arabic" w:cs="Noto Naskh Arabic"/>
                <w:b w:val="0"/>
                <w:i w:val="0"/>
                <w:color w:val="1F2937"/>
                <w:sz w:val="17"/>
                <w:rtl w:val="1"/>
              </w:rPr>
              <w:t>۲٫۱٪</w:t>
            </w:r>
          </w:p>
        </w:tc>
      </w:tr>
      <w:tr>
        <w:tc>
          <w:tcPr>
            <w:tcW w:type="dxa" w:w="1871"/>
            <w:vAlign w:val="center"/>
            <w:tcMar>
              <w:top w:w="90" w:type="dxa"/>
              <w:start w:w="100" w:type="dxa"/>
              <w:bottom w:w="90" w:type="dxa"/>
              <w:end w:w="100" w:type="dxa"/>
            </w:tcMar>
            <w:shd w:fill="FFFFFF"/>
          </w:tcPr>
          <w:p>
            <w:pPr>
              <w:keepNext w:val="0"/>
              <w:keepLines w:val="0"/>
              <w:spacing w:before="0" w:after="0" w:line="264" w:lineRule="auto"/>
              <w:jc w:val="center"/>
              <w:bidi w:val="1"/>
            </w:pPr>
            <w:r/>
            <w:r>
              <w:rPr>
                <w:rFonts w:ascii="Noto Naskh Arabic" w:hAnsi="Noto Naskh Arabic" w:eastAsia="Noto Naskh Arabic" w:cs="Noto Naskh Arabic"/>
                <w:b/>
                <w:i w:val="0"/>
                <w:color w:val="1F2937"/>
                <w:sz w:val="17"/>
                <w:rtl w:val="1"/>
              </w:rPr>
              <w:t>پایه</w:t>
            </w:r>
          </w:p>
        </w:tc>
        <w:tc>
          <w:tcPr>
            <w:tcW w:type="dxa" w:w="1701"/>
            <w:vAlign w:val="center"/>
            <w:tcMar>
              <w:top w:w="90" w:type="dxa"/>
              <w:start w:w="100" w:type="dxa"/>
              <w:bottom w:w="90" w:type="dxa"/>
              <w:end w:w="100" w:type="dxa"/>
            </w:tcMar>
            <w:shd w:fill="FFFFFF"/>
          </w:tcPr>
          <w:p>
            <w:pPr>
              <w:keepNext w:val="0"/>
              <w:keepLines w:val="0"/>
              <w:spacing w:before="0" w:after="0" w:line="264" w:lineRule="auto"/>
              <w:jc w:val="center"/>
              <w:bidi w:val="1"/>
            </w:pPr>
            <w:r/>
            <w:r>
              <w:rPr>
                <w:rFonts w:ascii="Noto Naskh Arabic" w:hAnsi="Noto Naskh Arabic" w:eastAsia="Noto Naskh Arabic" w:cs="Noto Naskh Arabic"/>
                <w:b w:val="0"/>
                <w:i w:val="0"/>
                <w:color w:val="1F2937"/>
                <w:sz w:val="17"/>
                <w:rtl w:val="1"/>
              </w:rPr>
              <w:t>≈ ۵٬۹۱۰</w:t>
            </w:r>
          </w:p>
        </w:tc>
        <w:tc>
          <w:tcPr>
            <w:tcW w:type="dxa" w:w="1701"/>
            <w:vAlign w:val="center"/>
            <w:tcMar>
              <w:top w:w="90" w:type="dxa"/>
              <w:start w:w="100" w:type="dxa"/>
              <w:bottom w:w="90" w:type="dxa"/>
              <w:end w:w="100" w:type="dxa"/>
            </w:tcMar>
            <w:shd w:fill="FFFFFF"/>
          </w:tcPr>
          <w:p>
            <w:pPr>
              <w:keepNext w:val="0"/>
              <w:keepLines w:val="0"/>
              <w:spacing w:before="0" w:after="0" w:line="264" w:lineRule="auto"/>
              <w:jc w:val="center"/>
              <w:bidi w:val="1"/>
            </w:pPr>
            <w:r/>
            <w:r>
              <w:rPr>
                <w:rFonts w:ascii="Noto Naskh Arabic" w:hAnsi="Noto Naskh Arabic" w:eastAsia="Noto Naskh Arabic" w:cs="Noto Naskh Arabic"/>
                <w:b w:val="0"/>
                <w:i w:val="0"/>
                <w:color w:val="1F2937"/>
                <w:sz w:val="17"/>
                <w:rtl w:val="1"/>
              </w:rPr>
              <w:t>≈ ۱۰٬۲۹۰</w:t>
            </w:r>
          </w:p>
        </w:tc>
        <w:tc>
          <w:tcPr>
            <w:tcW w:type="dxa" w:w="1701"/>
            <w:vAlign w:val="center"/>
            <w:tcMar>
              <w:top w:w="90" w:type="dxa"/>
              <w:start w:w="100" w:type="dxa"/>
              <w:bottom w:w="90" w:type="dxa"/>
              <w:end w:w="100" w:type="dxa"/>
            </w:tcMar>
            <w:shd w:fill="FFFFFF"/>
          </w:tcPr>
          <w:p>
            <w:pPr>
              <w:keepNext w:val="0"/>
              <w:keepLines w:val="0"/>
              <w:spacing w:before="0" w:after="0" w:line="264" w:lineRule="auto"/>
              <w:jc w:val="center"/>
              <w:bidi w:val="1"/>
            </w:pPr>
            <w:r/>
            <w:r>
              <w:rPr>
                <w:rFonts w:ascii="Noto Naskh Arabic" w:hAnsi="Noto Naskh Arabic" w:eastAsia="Noto Naskh Arabic" w:cs="Noto Naskh Arabic"/>
                <w:b/>
                <w:i w:val="0"/>
                <w:color w:val="2E7D32"/>
                <w:sz w:val="17"/>
                <w:rtl w:val="1"/>
              </w:rPr>
              <w:t>≈ ۱۵٬۲۰۰</w:t>
            </w:r>
          </w:p>
        </w:tc>
        <w:tc>
          <w:tcPr>
            <w:tcW w:type="dxa" w:w="2211"/>
            <w:vAlign w:val="center"/>
            <w:tcMar>
              <w:top w:w="90" w:type="dxa"/>
              <w:start w:w="100" w:type="dxa"/>
              <w:bottom w:w="90" w:type="dxa"/>
              <w:end w:w="100" w:type="dxa"/>
            </w:tcMar>
            <w:shd w:fill="FFFFFF"/>
          </w:tcPr>
          <w:p>
            <w:pPr>
              <w:keepNext w:val="0"/>
              <w:keepLines w:val="0"/>
              <w:spacing w:before="0" w:after="0" w:line="264" w:lineRule="auto"/>
              <w:jc w:val="center"/>
              <w:bidi w:val="1"/>
            </w:pPr>
            <w:r/>
            <w:r>
              <w:rPr>
                <w:rFonts w:ascii="Noto Naskh Arabic" w:hAnsi="Noto Naskh Arabic" w:eastAsia="Noto Naskh Arabic" w:cs="Noto Naskh Arabic"/>
                <w:b w:val="0"/>
                <w:i w:val="0"/>
                <w:color w:val="1F2937"/>
                <w:sz w:val="17"/>
                <w:rtl w:val="1"/>
              </w:rPr>
              <w:t>۴٫۱٪</w:t>
            </w:r>
          </w:p>
        </w:tc>
      </w:tr>
      <w:tr>
        <w:tc>
          <w:tcPr>
            <w:tcW w:type="dxa" w:w="1871"/>
            <w:vAlign w:val="center"/>
            <w:tcMar>
              <w:top w:w="90" w:type="dxa"/>
              <w:start w:w="100" w:type="dxa"/>
              <w:bottom w:w="90" w:type="dxa"/>
              <w:end w:w="100" w:type="dxa"/>
            </w:tcMar>
            <w:shd w:fill="F5FAF6"/>
          </w:tcPr>
          <w:p>
            <w:pPr>
              <w:keepNext w:val="0"/>
              <w:keepLines w:val="0"/>
              <w:spacing w:before="0" w:after="0" w:line="264" w:lineRule="auto"/>
              <w:jc w:val="center"/>
              <w:bidi w:val="1"/>
            </w:pPr>
            <w:r/>
            <w:r>
              <w:rPr>
                <w:rFonts w:ascii="Noto Naskh Arabic" w:hAnsi="Noto Naskh Arabic" w:eastAsia="Noto Naskh Arabic" w:cs="Noto Naskh Arabic"/>
                <w:b/>
                <w:i w:val="0"/>
                <w:color w:val="1F2937"/>
                <w:sz w:val="17"/>
                <w:rtl w:val="1"/>
              </w:rPr>
              <w:t>جهش موفق</w:t>
            </w:r>
          </w:p>
        </w:tc>
        <w:tc>
          <w:tcPr>
            <w:tcW w:type="dxa" w:w="1701"/>
            <w:vAlign w:val="center"/>
            <w:tcMar>
              <w:top w:w="90" w:type="dxa"/>
              <w:start w:w="100" w:type="dxa"/>
              <w:bottom w:w="90" w:type="dxa"/>
              <w:end w:w="100" w:type="dxa"/>
            </w:tcMar>
            <w:shd w:fill="F5FAF6"/>
          </w:tcPr>
          <w:p>
            <w:pPr>
              <w:keepNext w:val="0"/>
              <w:keepLines w:val="0"/>
              <w:spacing w:before="0" w:after="0" w:line="264" w:lineRule="auto"/>
              <w:jc w:val="center"/>
              <w:bidi w:val="1"/>
            </w:pPr>
            <w:r/>
            <w:r>
              <w:rPr>
                <w:rFonts w:ascii="Noto Naskh Arabic" w:hAnsi="Noto Naskh Arabic" w:eastAsia="Noto Naskh Arabic" w:cs="Noto Naskh Arabic"/>
                <w:b w:val="0"/>
                <w:i w:val="0"/>
                <w:color w:val="1F2937"/>
                <w:sz w:val="17"/>
                <w:rtl w:val="1"/>
              </w:rPr>
              <w:t>≈ ۶٬۴۰۰</w:t>
            </w:r>
          </w:p>
        </w:tc>
        <w:tc>
          <w:tcPr>
            <w:tcW w:type="dxa" w:w="1701"/>
            <w:vAlign w:val="center"/>
            <w:tcMar>
              <w:top w:w="90" w:type="dxa"/>
              <w:start w:w="100" w:type="dxa"/>
              <w:bottom w:w="90" w:type="dxa"/>
              <w:end w:w="100" w:type="dxa"/>
            </w:tcMar>
            <w:shd w:fill="F5FAF6"/>
          </w:tcPr>
          <w:p>
            <w:pPr>
              <w:keepNext w:val="0"/>
              <w:keepLines w:val="0"/>
              <w:spacing w:before="0" w:after="0" w:line="264" w:lineRule="auto"/>
              <w:jc w:val="center"/>
              <w:bidi w:val="1"/>
            </w:pPr>
            <w:r/>
            <w:r>
              <w:rPr>
                <w:rFonts w:ascii="Noto Naskh Arabic" w:hAnsi="Noto Naskh Arabic" w:eastAsia="Noto Naskh Arabic" w:cs="Noto Naskh Arabic"/>
                <w:b w:val="0"/>
                <w:i w:val="0"/>
                <w:color w:val="1F2937"/>
                <w:sz w:val="17"/>
                <w:rtl w:val="1"/>
              </w:rPr>
              <w:t>≈ ۱۲٬۷۰۰</w:t>
            </w:r>
          </w:p>
        </w:tc>
        <w:tc>
          <w:tcPr>
            <w:tcW w:type="dxa" w:w="1701"/>
            <w:vAlign w:val="center"/>
            <w:tcMar>
              <w:top w:w="90" w:type="dxa"/>
              <w:start w:w="100" w:type="dxa"/>
              <w:bottom w:w="90" w:type="dxa"/>
              <w:end w:w="100" w:type="dxa"/>
            </w:tcMar>
            <w:shd w:fill="F5FAF6"/>
          </w:tcPr>
          <w:p>
            <w:pPr>
              <w:keepNext w:val="0"/>
              <w:keepLines w:val="0"/>
              <w:spacing w:before="0" w:after="0" w:line="264" w:lineRule="auto"/>
              <w:jc w:val="center"/>
              <w:bidi w:val="1"/>
            </w:pPr>
            <w:r/>
            <w:r>
              <w:rPr>
                <w:rFonts w:ascii="Noto Naskh Arabic" w:hAnsi="Noto Naskh Arabic" w:eastAsia="Noto Naskh Arabic" w:cs="Noto Naskh Arabic"/>
                <w:b/>
                <w:i w:val="0"/>
                <w:color w:val="2E7D32"/>
                <w:sz w:val="17"/>
                <w:rtl w:val="1"/>
              </w:rPr>
              <w:t>≈ ۲۰٬۶۰۰</w:t>
            </w:r>
          </w:p>
        </w:tc>
        <w:tc>
          <w:tcPr>
            <w:tcW w:type="dxa" w:w="2211"/>
            <w:vAlign w:val="center"/>
            <w:tcMar>
              <w:top w:w="90" w:type="dxa"/>
              <w:start w:w="100" w:type="dxa"/>
              <w:bottom w:w="90" w:type="dxa"/>
              <w:end w:w="100" w:type="dxa"/>
            </w:tcMar>
            <w:shd w:fill="F5FAF6"/>
          </w:tcPr>
          <w:p>
            <w:pPr>
              <w:keepNext w:val="0"/>
              <w:keepLines w:val="0"/>
              <w:spacing w:before="0" w:after="0" w:line="264" w:lineRule="auto"/>
              <w:jc w:val="center"/>
              <w:bidi w:val="1"/>
            </w:pPr>
            <w:r/>
            <w:r>
              <w:rPr>
                <w:rFonts w:ascii="Noto Naskh Arabic" w:hAnsi="Noto Naskh Arabic" w:eastAsia="Noto Naskh Arabic" w:cs="Noto Naskh Arabic"/>
                <w:b w:val="0"/>
                <w:i w:val="0"/>
                <w:color w:val="1F2937"/>
                <w:sz w:val="17"/>
                <w:rtl w:val="1"/>
              </w:rPr>
              <w:t>۵٫۳٪</w:t>
            </w:r>
          </w:p>
        </w:tc>
      </w:tr>
    </w:tbl>
    <w:p>
      <w:pPr>
        <w:keepNext w:val="0"/>
        <w:keepLines w:val="0"/>
        <w:spacing w:before="60" w:after="140" w:line="240" w:lineRule="auto"/>
        <w:jc w:val="center"/>
        <w:bidi w:val="1"/>
        <w:widowControl w:val="1"/>
      </w:pPr>
      <w:r>
        <w:rPr>
          <w:rFonts w:ascii="Noto Naskh Arabic" w:hAnsi="Noto Naskh Arabic" w:eastAsia="Noto Naskh Arabic" w:cs="Noto Naskh Arabic"/>
          <w:b w:val="0"/>
          <w:i/>
          <w:color w:val="6B7280"/>
          <w:sz w:val="18"/>
          <w:rtl w:val="1"/>
        </w:rPr>
        <w:t>جدول ۴. همهٔ ارقام به دلار ثابت ۲۰۱۵ هستند و نه درآمد اسمی آینده.</w:t>
      </w:r>
    </w:p>
    <w:p>
      <w:pPr>
        <w:keepNext w:val="0"/>
        <w:keepLines w:val="0"/>
        <w:spacing w:before="0" w:after="120" w:line="300" w:lineRule="auto"/>
        <w:jc w:val="both"/>
        <w:bidi w:val="1"/>
        <w:widowControl w:val="1"/>
      </w:pPr>
      <w:r>
        <w:rPr>
          <w:rFonts w:ascii="Noto Naskh Arabic" w:hAnsi="Noto Naskh Arabic" w:eastAsia="Noto Naskh Arabic" w:cs="Noto Naskh Arabic"/>
          <w:b w:val="0"/>
          <w:i w:val="0"/>
          <w:color w:val="1F2937"/>
          <w:sz w:val="22"/>
          <w:rtl w:val="1"/>
        </w:rPr>
        <w:t>عبارت‌های پیشنهادی برای درج بر روی ادامهٔ منحنی عبارت‌اند از:</w:t>
      </w:r>
    </w:p>
    <w:p>
      <w:pPr>
        <w:pStyle w:val="ListBullet"/>
        <w:keepNext w:val="0"/>
        <w:keepLines w:val="0"/>
        <w:spacing w:before="0" w:after="60" w:line="283" w:lineRule="auto"/>
        <w:ind w:right="255"/>
        <w:jc w:val="both"/>
        <w:bidi w:val="1"/>
        <w:widowControl w:val="1"/>
      </w:pPr>
      <w:r>
        <w:rPr>
          <w:rFonts w:ascii="Noto Naskh Arabic" w:hAnsi="Noto Naskh Arabic" w:eastAsia="Noto Naskh Arabic" w:cs="Noto Naskh Arabic"/>
          <w:b w:val="0"/>
          <w:i w:val="0"/>
          <w:color w:val="1F2937"/>
          <w:sz w:val="22"/>
          <w:rtl w:val="1"/>
        </w:rPr>
        <w:t>۲۰۲۶–۲۰۲۷: مهار خون‌ریزی و حفظ دولت؛</w:t>
      </w:r>
    </w:p>
    <w:p>
      <w:pPr>
        <w:pStyle w:val="ListBullet"/>
        <w:keepNext w:val="0"/>
        <w:keepLines w:val="0"/>
        <w:spacing w:before="0" w:after="60" w:line="283" w:lineRule="auto"/>
        <w:ind w:right="255"/>
        <w:jc w:val="both"/>
        <w:bidi w:val="1"/>
        <w:widowControl w:val="1"/>
      </w:pPr>
      <w:r>
        <w:rPr>
          <w:rFonts w:ascii="Noto Naskh Arabic" w:hAnsi="Noto Naskh Arabic" w:eastAsia="Noto Naskh Arabic" w:cs="Noto Naskh Arabic"/>
          <w:b w:val="0"/>
          <w:i w:val="0"/>
          <w:color w:val="1F2937"/>
          <w:sz w:val="22"/>
          <w:rtl w:val="1"/>
        </w:rPr>
        <w:t>۲۰۲۸–۲۰۳۰: ثبات پولی و بازگشت به جهان؛</w:t>
      </w:r>
    </w:p>
    <w:p>
      <w:pPr>
        <w:pStyle w:val="ListBullet"/>
        <w:keepNext w:val="0"/>
        <w:keepLines w:val="0"/>
        <w:spacing w:before="0" w:after="60" w:line="283" w:lineRule="auto"/>
        <w:ind w:right="255"/>
        <w:jc w:val="both"/>
        <w:bidi w:val="1"/>
        <w:widowControl w:val="1"/>
      </w:pPr>
      <w:r>
        <w:rPr>
          <w:rFonts w:ascii="Noto Naskh Arabic" w:hAnsi="Noto Naskh Arabic" w:eastAsia="Noto Naskh Arabic" w:cs="Noto Naskh Arabic"/>
          <w:b w:val="0"/>
          <w:i w:val="0"/>
          <w:color w:val="1F2937"/>
          <w:sz w:val="22"/>
          <w:rtl w:val="1"/>
        </w:rPr>
        <w:t>۲۰۳۱–۲۰۳۵: موج بازسازی و جهش سرمایه‌گذاری؛</w:t>
      </w:r>
    </w:p>
    <w:p>
      <w:pPr>
        <w:pStyle w:val="ListBullet"/>
        <w:keepNext w:val="0"/>
        <w:keepLines w:val="0"/>
        <w:spacing w:before="0" w:after="60" w:line="283" w:lineRule="auto"/>
        <w:ind w:right="255"/>
        <w:jc w:val="both"/>
        <w:bidi w:val="1"/>
        <w:widowControl w:val="1"/>
      </w:pPr>
      <w:r>
        <w:rPr>
          <w:rFonts w:ascii="Noto Naskh Arabic" w:hAnsi="Noto Naskh Arabic" w:eastAsia="Noto Naskh Arabic" w:cs="Noto Naskh Arabic"/>
          <w:b w:val="0"/>
          <w:i w:val="0"/>
          <w:color w:val="1F2937"/>
          <w:sz w:val="22"/>
          <w:rtl w:val="1"/>
        </w:rPr>
        <w:t>۲۰۳۶–۲۰۴۰: طوفان نوآوری و تخریب خلاق شومپتری؛</w:t>
      </w:r>
    </w:p>
    <w:p>
      <w:pPr>
        <w:pStyle w:val="ListBullet"/>
        <w:keepNext w:val="0"/>
        <w:keepLines w:val="0"/>
        <w:spacing w:before="0" w:after="60" w:line="283" w:lineRule="auto"/>
        <w:ind w:right="255"/>
        <w:jc w:val="both"/>
        <w:bidi w:val="1"/>
        <w:widowControl w:val="1"/>
      </w:pPr>
      <w:r>
        <w:rPr>
          <w:rFonts w:ascii="Noto Naskh Arabic" w:hAnsi="Noto Naskh Arabic" w:eastAsia="Noto Naskh Arabic" w:cs="Noto Naskh Arabic"/>
          <w:b w:val="0"/>
          <w:i w:val="0"/>
          <w:color w:val="1F2937"/>
          <w:sz w:val="22"/>
          <w:rtl w:val="1"/>
        </w:rPr>
        <w:t>۲۰۴۱–۲۰۵۰: اقتصاد دانش‌بنیان و دموکراسی پارلمانی بالغ.</w:t>
      </w:r>
    </w:p>
    <w:p>
      <w:pPr>
        <w:keepNext w:val="0"/>
        <w:keepLines w:val="0"/>
        <w:spacing w:before="0" w:after="120" w:line="300" w:lineRule="auto"/>
        <w:jc w:val="both"/>
        <w:bidi w:val="1"/>
        <w:widowControl w:val="1"/>
      </w:pPr>
      <w:r>
        <w:rPr>
          <w:rFonts w:ascii="Noto Naskh Arabic" w:hAnsi="Noto Naskh Arabic" w:eastAsia="Noto Naskh Arabic" w:cs="Noto Naskh Arabic"/>
          <w:b w:val="0"/>
          <w:i w:val="0"/>
          <w:color w:val="1F2937"/>
          <w:sz w:val="22"/>
          <w:rtl w:val="1"/>
        </w:rPr>
        <w:t>برای مقایسهٔ تاریخی، داده‌های پیش از میانهٔ قرن بیستم بازسازی‌های تاریخی‌اند و با حساب‌های ملی جدید کیفیت یکسان ندارند. رشد سریع دهه‌های ۱۹۶۰ و ۱۹۷۰ نشان می‌دهد جهش بالا برای چند سال ممکن است؛ اما تداوم آن برای یک ربع قرن فقط با کیفیت نهادی، سرمایه‌گذاری، ثبات پولی و بهره‌وری ممکن خواهد بود. [۱۶، ۲۷–۲۹]</w:t>
      </w:r>
    </w:p>
    <w:p>
      <w:pPr>
        <w:pStyle w:val="Heading1"/>
        <w:keepNext/>
        <w:keepLines w:val="0"/>
        <w:spacing w:before="200" w:after="100" w:line="252" w:lineRule="auto"/>
        <w:jc w:val="right"/>
        <w:bidi w:val="1"/>
        <w:pBdr>
          <w:bottom w:val="single" w:sz="8" w:space="5" w:color="B8872E"/>
        </w:pBdr>
        <w:widowControl w:val="1"/>
      </w:pPr>
      <w:r>
        <w:rPr>
          <w:rFonts w:ascii="Noto Sans Arabic" w:hAnsi="Noto Sans Arabic" w:eastAsia="Noto Sans Arabic" w:cs="Noto Sans Arabic"/>
          <w:b/>
          <w:i w:val="0"/>
          <w:color w:val="17365D"/>
          <w:sz w:val="32"/>
          <w:rtl w:val="1"/>
        </w:rPr>
        <w:t>۱۰. آیا شاهزاده می‌تواند از بانک جهانی «وامی بزرگ» بگیرد؟</w:t>
      </w:r>
    </w:p>
    <w:p>
      <w:pPr>
        <w:keepNext w:val="0"/>
        <w:keepLines w:val="0"/>
        <w:spacing w:before="0" w:after="120" w:line="300" w:lineRule="auto"/>
        <w:jc w:val="both"/>
        <w:bidi w:val="1"/>
        <w:widowControl w:val="1"/>
      </w:pPr>
      <w:r>
        <w:rPr>
          <w:rFonts w:ascii="Noto Naskh Arabic" w:hAnsi="Noto Naskh Arabic" w:eastAsia="Noto Naskh Arabic" w:cs="Noto Naskh Arabic"/>
          <w:b w:val="0"/>
          <w:i w:val="0"/>
          <w:color w:val="1F2937"/>
          <w:sz w:val="22"/>
          <w:rtl w:val="1"/>
        </w:rPr>
        <w:t>نام، سابقه و ارتباطات شاهزاده رضا پهلوی می‌تواند درهای دیپلماسی را باز و هزینهٔ شناخت اولیه را کاهش دهد؛ اما بانک جهانی بر اساس نام خانوادگی، محبوبیت یا عنوان سلطنتی وام نمی‌دهد. وام و تضمین مالی به شناسایی دولت قانونی، پایداری بدهی، ظرفیت اجرایی، نظام مناقصه، مدیریت مالی، ارزیابی اجتماعی و زیست‌محیطی و تصویب نهادهای ذی‌ربط وابسته است. [۱۳–۱۵]</w:t>
      </w:r>
    </w:p>
    <w:p>
      <w:pPr>
        <w:keepNext w:val="0"/>
        <w:keepLines w:val="0"/>
        <w:spacing w:before="0" w:after="120" w:line="300" w:lineRule="auto"/>
        <w:jc w:val="both"/>
        <w:bidi w:val="1"/>
        <w:widowControl w:val="1"/>
      </w:pPr>
      <w:r>
        <w:rPr>
          <w:rFonts w:ascii="Noto Naskh Arabic" w:hAnsi="Noto Naskh Arabic" w:eastAsia="Noto Naskh Arabic" w:cs="Noto Naskh Arabic"/>
          <w:b w:val="0"/>
          <w:i w:val="0"/>
          <w:color w:val="1F2937"/>
          <w:sz w:val="22"/>
          <w:rtl w:val="1"/>
        </w:rPr>
        <w:t>دولت انتقالی یا منتخب برای دریافت بستهٔ بازسازی باید دست‌کم این شروط را فراهم کند:</w:t>
      </w:r>
    </w:p>
    <w:p>
      <w:pPr>
        <w:pStyle w:val="ListBullet"/>
        <w:keepNext w:val="0"/>
        <w:keepLines w:val="0"/>
        <w:spacing w:before="0" w:after="60" w:line="283" w:lineRule="auto"/>
        <w:ind w:right="255"/>
        <w:jc w:val="both"/>
        <w:bidi w:val="1"/>
        <w:widowControl w:val="1"/>
      </w:pPr>
      <w:r>
        <w:rPr>
          <w:rFonts w:ascii="Noto Naskh Arabic" w:hAnsi="Noto Naskh Arabic" w:eastAsia="Noto Naskh Arabic" w:cs="Noto Naskh Arabic"/>
          <w:b w:val="0"/>
          <w:i w:val="0"/>
          <w:color w:val="1F2937"/>
          <w:sz w:val="22"/>
          <w:rtl w:val="1"/>
        </w:rPr>
        <w:t>شناسایی بین‌المللی دولت قانونی و روشن شدن نمایندگی حقوقی ایران؛</w:t>
      </w:r>
    </w:p>
    <w:p>
      <w:pPr>
        <w:pStyle w:val="ListBullet"/>
        <w:keepNext w:val="0"/>
        <w:keepLines w:val="0"/>
        <w:spacing w:before="0" w:after="60" w:line="283" w:lineRule="auto"/>
        <w:ind w:right="255"/>
        <w:jc w:val="both"/>
        <w:bidi w:val="1"/>
        <w:widowControl w:val="1"/>
      </w:pPr>
      <w:r>
        <w:rPr>
          <w:rFonts w:ascii="Noto Naskh Arabic" w:hAnsi="Noto Naskh Arabic" w:eastAsia="Noto Naskh Arabic" w:cs="Noto Naskh Arabic"/>
          <w:b w:val="0"/>
          <w:i w:val="0"/>
          <w:color w:val="1F2937"/>
          <w:sz w:val="22"/>
          <w:rtl w:val="1"/>
        </w:rPr>
        <w:t>پایان یا تعلیق تحریم‌های اصلی مالی و بانکی؛</w:t>
      </w:r>
    </w:p>
    <w:p>
      <w:pPr>
        <w:pStyle w:val="ListBullet"/>
        <w:keepNext w:val="0"/>
        <w:keepLines w:val="0"/>
        <w:spacing w:before="0" w:after="60" w:line="283" w:lineRule="auto"/>
        <w:ind w:right="255"/>
        <w:jc w:val="both"/>
        <w:bidi w:val="1"/>
        <w:widowControl w:val="1"/>
      </w:pPr>
      <w:r>
        <w:rPr>
          <w:rFonts w:ascii="Noto Naskh Arabic" w:hAnsi="Noto Naskh Arabic" w:eastAsia="Noto Naskh Arabic" w:cs="Noto Naskh Arabic"/>
          <w:b w:val="0"/>
          <w:i w:val="0"/>
          <w:color w:val="1F2937"/>
          <w:sz w:val="22"/>
          <w:rtl w:val="1"/>
        </w:rPr>
        <w:t>حسابرسی بانک مرکزی، صندوق‌ها و بدهی‌های پنهان؛</w:t>
      </w:r>
    </w:p>
    <w:p>
      <w:pPr>
        <w:pStyle w:val="ListBullet"/>
        <w:keepNext w:val="0"/>
        <w:keepLines w:val="0"/>
        <w:spacing w:before="0" w:after="60" w:line="283" w:lineRule="auto"/>
        <w:ind w:right="255"/>
        <w:jc w:val="both"/>
        <w:bidi w:val="1"/>
        <w:widowControl w:val="1"/>
      </w:pPr>
      <w:r>
        <w:rPr>
          <w:rFonts w:ascii="Noto Naskh Arabic" w:hAnsi="Noto Naskh Arabic" w:eastAsia="Noto Naskh Arabic" w:cs="Noto Naskh Arabic"/>
          <w:b w:val="0"/>
          <w:i w:val="0"/>
          <w:color w:val="1F2937"/>
          <w:sz w:val="22"/>
          <w:rtl w:val="1"/>
        </w:rPr>
        <w:t>قانون بودجه، سقف بدهی و انتشار قراردادهای عمومی؛</w:t>
      </w:r>
    </w:p>
    <w:p>
      <w:pPr>
        <w:pStyle w:val="ListBullet"/>
        <w:keepNext w:val="0"/>
        <w:keepLines w:val="0"/>
        <w:spacing w:before="0" w:after="60" w:line="283" w:lineRule="auto"/>
        <w:ind w:right="255"/>
        <w:jc w:val="both"/>
        <w:bidi w:val="1"/>
        <w:widowControl w:val="1"/>
      </w:pPr>
      <w:r>
        <w:rPr>
          <w:rFonts w:ascii="Noto Naskh Arabic" w:hAnsi="Noto Naskh Arabic" w:eastAsia="Noto Naskh Arabic" w:cs="Noto Naskh Arabic"/>
          <w:b w:val="0"/>
          <w:i w:val="0"/>
          <w:color w:val="1F2937"/>
          <w:sz w:val="22"/>
          <w:rtl w:val="1"/>
        </w:rPr>
        <w:t>دادگاه مستقل، اجرای قرارداد و نظام مناقصهٔ الکترونیک؛</w:t>
      </w:r>
    </w:p>
    <w:p>
      <w:pPr>
        <w:pStyle w:val="ListBullet"/>
        <w:keepNext w:val="0"/>
        <w:keepLines w:val="0"/>
        <w:spacing w:before="0" w:after="60" w:line="283" w:lineRule="auto"/>
        <w:ind w:right="255"/>
        <w:jc w:val="both"/>
        <w:bidi w:val="1"/>
        <w:widowControl w:val="1"/>
      </w:pPr>
      <w:r>
        <w:rPr>
          <w:rFonts w:ascii="Noto Naskh Arabic" w:hAnsi="Noto Naskh Arabic" w:eastAsia="Noto Naskh Arabic" w:cs="Noto Naskh Arabic"/>
          <w:b w:val="0"/>
          <w:i w:val="0"/>
          <w:color w:val="1F2937"/>
          <w:sz w:val="22"/>
          <w:rtl w:val="1"/>
        </w:rPr>
        <w:t>ارزیابی اجتماعی و زیست‌محیطی و پروژه‌های آمادهٔ اجرا.</w:t>
      </w:r>
    </w:p>
    <w:p>
      <w:pPr>
        <w:pStyle w:val="Heading2"/>
        <w:keepNext/>
        <w:keepLines w:val="0"/>
        <w:spacing w:before="120" w:after="100" w:line="252" w:lineRule="auto"/>
        <w:jc w:val="right"/>
        <w:bidi w:val="1"/>
        <w:widowControl w:val="1"/>
      </w:pPr>
      <w:r>
        <w:rPr>
          <w:rFonts w:ascii="Noto Sans Arabic" w:hAnsi="Noto Sans Arabic" w:eastAsia="Noto Sans Arabic" w:cs="Noto Sans Arabic"/>
          <w:b/>
          <w:i w:val="0"/>
          <w:color w:val="1F4E79"/>
          <w:sz w:val="26"/>
          <w:rtl w:val="1"/>
        </w:rPr>
        <w:t>بستهٔ سناریویی «بازسازی و نوآوری ایران»</w:t>
      </w:r>
    </w:p>
    <w:tbl>
      <w:tblPr>
        <w:tblW w:type="auto" w:w="0"/>
        <w:jc w:val="center"/>
        <w:tblLayout w:type="fixed"/>
        <w:tblLook w:firstColumn="1" w:firstRow="1" w:lastColumn="0" w:lastRow="0" w:noHBand="0" w:noVBand="1" w:val="04A0"/>
        <w:bidiVisual w:val="1"/>
        <w:tblBorders>
          <w:top w:val="single" w:sz="4" w:color="BFC7D1"/>
          <w:left w:val="single" w:sz="4" w:color="BFC7D1"/>
          <w:bottom w:val="single" w:sz="4" w:color="BFC7D1"/>
          <w:right w:val="single" w:sz="4" w:color="BFC7D1"/>
          <w:insideH w:val="single" w:sz="4" w:color="BFC7D1"/>
          <w:insideV w:val="single" w:sz="4" w:color="BFC7D1"/>
        </w:tblBorders>
      </w:tblPr>
      <w:tblGrid>
        <w:gridCol w:w="3307"/>
        <w:gridCol w:w="3307"/>
        <w:gridCol w:w="3307"/>
      </w:tblGrid>
      <w:tr>
        <w:trPr>
          <w:tblHeader w:val="true"/>
        </w:trPr>
        <w:tc>
          <w:tcPr>
            <w:tcW w:type="dxa" w:w="3118"/>
            <w:vAlign w:val="center"/>
            <w:tcMar>
              <w:top w:w="90" w:type="dxa"/>
              <w:start w:w="100" w:type="dxa"/>
              <w:bottom w:w="90" w:type="dxa"/>
              <w:end w:w="100" w:type="dxa"/>
            </w:tcMar>
            <w:shd w:fill="17365D"/>
          </w:tcPr>
          <w:p>
            <w:pPr>
              <w:keepNext w:val="0"/>
              <w:keepLines w:val="0"/>
              <w:spacing w:before="0" w:after="0" w:line="264" w:lineRule="auto"/>
              <w:jc w:val="center"/>
              <w:bidi w:val="1"/>
            </w:pPr>
            <w:r>
              <w:rPr>
                <w:rFonts w:ascii="Noto Sans Arabic" w:hAnsi="Noto Sans Arabic" w:eastAsia="Noto Sans Arabic" w:cs="Noto Sans Arabic"/>
                <w:b/>
                <w:i w:val="0"/>
                <w:color w:val="FFFFFF"/>
                <w:sz w:val="18"/>
              </w:rPr>
            </w:r>
            <w:r>
              <w:rPr>
                <w:rFonts w:ascii="Noto Sans Arabic" w:hAnsi="Noto Sans Arabic" w:eastAsia="Noto Sans Arabic" w:cs="Noto Sans Arabic"/>
                <w:b/>
                <w:i w:val="0"/>
                <w:color w:val="FFFFFF"/>
                <w:sz w:val="18"/>
                <w:rtl w:val="1"/>
              </w:rPr>
              <w:t>منبع فرضی</w:t>
            </w:r>
          </w:p>
        </w:tc>
        <w:tc>
          <w:tcPr>
            <w:tcW w:type="dxa" w:w="2551"/>
            <w:vAlign w:val="center"/>
            <w:tcMar>
              <w:top w:w="90" w:type="dxa"/>
              <w:start w:w="100" w:type="dxa"/>
              <w:bottom w:w="90" w:type="dxa"/>
              <w:end w:w="100" w:type="dxa"/>
            </w:tcMar>
            <w:shd w:fill="17365D"/>
          </w:tcPr>
          <w:p>
            <w:pPr>
              <w:keepNext w:val="0"/>
              <w:keepLines w:val="0"/>
              <w:spacing w:before="0" w:after="0" w:line="264" w:lineRule="auto"/>
              <w:jc w:val="center"/>
              <w:bidi w:val="1"/>
            </w:pPr>
            <w:r>
              <w:rPr>
                <w:rFonts w:ascii="Noto Sans Arabic" w:hAnsi="Noto Sans Arabic" w:eastAsia="Noto Sans Arabic" w:cs="Noto Sans Arabic"/>
                <w:b/>
                <w:i w:val="0"/>
                <w:color w:val="FFFFFF"/>
                <w:sz w:val="18"/>
              </w:rPr>
            </w:r>
            <w:r>
              <w:rPr>
                <w:rFonts w:ascii="Noto Sans Arabic" w:hAnsi="Noto Sans Arabic" w:eastAsia="Noto Sans Arabic" w:cs="Noto Sans Arabic"/>
                <w:b/>
                <w:i w:val="0"/>
                <w:color w:val="FFFFFF"/>
                <w:sz w:val="18"/>
                <w:rtl w:val="1"/>
              </w:rPr>
              <w:t>مبلغ سناریویی</w:t>
            </w:r>
          </w:p>
        </w:tc>
        <w:tc>
          <w:tcPr>
            <w:tcW w:type="dxa" w:w="3515"/>
            <w:vAlign w:val="center"/>
            <w:tcMar>
              <w:top w:w="90" w:type="dxa"/>
              <w:start w:w="100" w:type="dxa"/>
              <w:bottom w:w="90" w:type="dxa"/>
              <w:end w:w="100" w:type="dxa"/>
            </w:tcMar>
            <w:shd w:fill="17365D"/>
          </w:tcPr>
          <w:p>
            <w:pPr>
              <w:keepNext w:val="0"/>
              <w:keepLines w:val="0"/>
              <w:spacing w:before="0" w:after="0" w:line="264" w:lineRule="auto"/>
              <w:jc w:val="center"/>
              <w:bidi w:val="1"/>
            </w:pPr>
            <w:r>
              <w:rPr>
                <w:rFonts w:ascii="Noto Sans Arabic" w:hAnsi="Noto Sans Arabic" w:eastAsia="Noto Sans Arabic" w:cs="Noto Sans Arabic"/>
                <w:b/>
                <w:i w:val="0"/>
                <w:color w:val="FFFFFF"/>
                <w:sz w:val="18"/>
              </w:rPr>
            </w:r>
            <w:r>
              <w:rPr>
                <w:rFonts w:ascii="Noto Sans Arabic" w:hAnsi="Noto Sans Arabic" w:eastAsia="Noto Sans Arabic" w:cs="Noto Sans Arabic"/>
                <w:b/>
                <w:i w:val="0"/>
                <w:color w:val="FFFFFF"/>
                <w:sz w:val="18"/>
                <w:rtl w:val="1"/>
              </w:rPr>
              <w:t>کاربرد</w:t>
            </w:r>
          </w:p>
        </w:tc>
      </w:tr>
      <w:tr>
        <w:tc>
          <w:tcPr>
            <w:tcW w:type="dxa" w:w="3118"/>
            <w:vAlign w:val="center"/>
            <w:tcMar>
              <w:top w:w="90" w:type="dxa"/>
              <w:start w:w="100" w:type="dxa"/>
              <w:bottom w:w="90" w:type="dxa"/>
              <w:end w:w="100" w:type="dxa"/>
            </w:tcMar>
            <w:shd w:fill="F8FAFC"/>
          </w:tcPr>
          <w:p>
            <w:pPr>
              <w:keepNext w:val="0"/>
              <w:keepLines w:val="0"/>
              <w:spacing w:before="0" w:after="0" w:line="264" w:lineRule="auto"/>
              <w:jc w:val="right"/>
              <w:bidi w:val="1"/>
            </w:pPr>
            <w:r/>
            <w:r>
              <w:rPr>
                <w:rFonts w:ascii="Noto Naskh Arabic" w:hAnsi="Noto Naskh Arabic" w:eastAsia="Noto Naskh Arabic" w:cs="Noto Naskh Arabic"/>
                <w:b/>
                <w:i w:val="0"/>
                <w:color w:val="1F4E79"/>
                <w:sz w:val="17"/>
                <w:rtl w:val="1"/>
              </w:rPr>
              <w:t>IBRD و ابزارهای مستقیم بانک جهانی</w:t>
            </w:r>
          </w:p>
        </w:tc>
        <w:tc>
          <w:tcPr>
            <w:tcW w:type="dxa" w:w="2551"/>
            <w:vAlign w:val="center"/>
            <w:tcMar>
              <w:top w:w="90" w:type="dxa"/>
              <w:start w:w="100" w:type="dxa"/>
              <w:bottom w:w="90" w:type="dxa"/>
              <w:end w:w="100" w:type="dxa"/>
            </w:tcMar>
            <w:shd w:fill="F8FAFC"/>
          </w:tcPr>
          <w:p>
            <w:pPr>
              <w:keepNext w:val="0"/>
              <w:keepLines w:val="0"/>
              <w:spacing w:before="0" w:after="0" w:line="264" w:lineRule="auto"/>
              <w:jc w:val="center"/>
              <w:bidi w:val="1"/>
            </w:pPr>
            <w:r/>
            <w:r>
              <w:rPr>
                <w:rFonts w:ascii="Noto Naskh Arabic" w:hAnsi="Noto Naskh Arabic" w:eastAsia="Noto Naskh Arabic" w:cs="Noto Naskh Arabic"/>
                <w:b/>
                <w:i w:val="0"/>
                <w:color w:val="2E7D32"/>
                <w:sz w:val="17"/>
                <w:rtl w:val="1"/>
              </w:rPr>
              <w:t>۱۰ تا ۱۵ میلیارد دلار</w:t>
            </w:r>
          </w:p>
        </w:tc>
        <w:tc>
          <w:tcPr>
            <w:tcW w:type="dxa" w:w="3515"/>
            <w:vAlign w:val="center"/>
            <w:tcMar>
              <w:top w:w="90" w:type="dxa"/>
              <w:start w:w="100" w:type="dxa"/>
              <w:bottom w:w="90" w:type="dxa"/>
              <w:end w:w="100" w:type="dxa"/>
            </w:tcMar>
            <w:shd w:fill="F8FAFC"/>
          </w:tcPr>
          <w:p>
            <w:pPr>
              <w:keepNext w:val="0"/>
              <w:keepLines w:val="0"/>
              <w:spacing w:before="0" w:after="0" w:line="264" w:lineRule="auto"/>
              <w:jc w:val="right"/>
              <w:bidi w:val="1"/>
            </w:pPr>
            <w:r/>
            <w:r>
              <w:rPr>
                <w:rFonts w:ascii="Noto Naskh Arabic" w:hAnsi="Noto Naskh Arabic" w:eastAsia="Noto Naskh Arabic" w:cs="Noto Naskh Arabic"/>
                <w:b w:val="0"/>
                <w:i w:val="0"/>
                <w:color w:val="1F2937"/>
                <w:sz w:val="17"/>
                <w:rtl w:val="1"/>
              </w:rPr>
              <w:t>آب، برق، سلامت، حمل‌ونقل، شهرداری و دولت دیجیتال.</w:t>
            </w:r>
          </w:p>
        </w:tc>
      </w:tr>
      <w:tr>
        <w:tc>
          <w:tcPr>
            <w:tcW w:type="dxa" w:w="3118"/>
            <w:vAlign w:val="center"/>
            <w:tcMar>
              <w:top w:w="90" w:type="dxa"/>
              <w:start w:w="100" w:type="dxa"/>
              <w:bottom w:w="90" w:type="dxa"/>
              <w:end w:w="100" w:type="dxa"/>
            </w:tcMar>
            <w:shd w:fill="FFFFFF"/>
          </w:tcPr>
          <w:p>
            <w:pPr>
              <w:keepNext w:val="0"/>
              <w:keepLines w:val="0"/>
              <w:spacing w:before="0" w:after="0" w:line="264" w:lineRule="auto"/>
              <w:jc w:val="right"/>
              <w:bidi w:val="1"/>
            </w:pPr>
            <w:r/>
            <w:r>
              <w:rPr>
                <w:rFonts w:ascii="Noto Naskh Arabic" w:hAnsi="Noto Naskh Arabic" w:eastAsia="Noto Naskh Arabic" w:cs="Noto Naskh Arabic"/>
                <w:b/>
                <w:i w:val="0"/>
                <w:color w:val="1F4E79"/>
                <w:sz w:val="17"/>
                <w:rtl w:val="1"/>
              </w:rPr>
              <w:t>IFC و تضمین‌های MIGA</w:t>
            </w:r>
          </w:p>
        </w:tc>
        <w:tc>
          <w:tcPr>
            <w:tcW w:type="dxa" w:w="2551"/>
            <w:vAlign w:val="center"/>
            <w:tcMar>
              <w:top w:w="90" w:type="dxa"/>
              <w:start w:w="100" w:type="dxa"/>
              <w:bottom w:w="90" w:type="dxa"/>
              <w:end w:w="100" w:type="dxa"/>
            </w:tcMar>
            <w:shd w:fill="FFFFFF"/>
          </w:tcPr>
          <w:p>
            <w:pPr>
              <w:keepNext w:val="0"/>
              <w:keepLines w:val="0"/>
              <w:spacing w:before="0" w:after="0" w:line="264" w:lineRule="auto"/>
              <w:jc w:val="center"/>
              <w:bidi w:val="1"/>
            </w:pPr>
            <w:r/>
            <w:r>
              <w:rPr>
                <w:rFonts w:ascii="Noto Naskh Arabic" w:hAnsi="Noto Naskh Arabic" w:eastAsia="Noto Naskh Arabic" w:cs="Noto Naskh Arabic"/>
                <w:b/>
                <w:i w:val="0"/>
                <w:color w:val="2E7D32"/>
                <w:sz w:val="17"/>
                <w:rtl w:val="1"/>
              </w:rPr>
              <w:t>حدود ۱۰ میلیارد دلار سرمایهٔ بسیج‌شده</w:t>
            </w:r>
          </w:p>
        </w:tc>
        <w:tc>
          <w:tcPr>
            <w:tcW w:type="dxa" w:w="3515"/>
            <w:vAlign w:val="center"/>
            <w:tcMar>
              <w:top w:w="90" w:type="dxa"/>
              <w:start w:w="100" w:type="dxa"/>
              <w:bottom w:w="90" w:type="dxa"/>
              <w:end w:w="100" w:type="dxa"/>
            </w:tcMar>
            <w:shd w:fill="FFFFFF"/>
          </w:tcPr>
          <w:p>
            <w:pPr>
              <w:keepNext w:val="0"/>
              <w:keepLines w:val="0"/>
              <w:spacing w:before="0" w:after="0" w:line="264" w:lineRule="auto"/>
              <w:jc w:val="right"/>
              <w:bidi w:val="1"/>
            </w:pPr>
            <w:r/>
            <w:r>
              <w:rPr>
                <w:rFonts w:ascii="Noto Naskh Arabic" w:hAnsi="Noto Naskh Arabic" w:eastAsia="Noto Naskh Arabic" w:cs="Noto Naskh Arabic"/>
                <w:b w:val="0"/>
                <w:i w:val="0"/>
                <w:color w:val="1F2937"/>
                <w:sz w:val="17"/>
                <w:rtl w:val="1"/>
              </w:rPr>
              <w:t>کاهش ریسک سرمایه‌گذار خصوصی و پروژه‌های زیربنایی.</w:t>
            </w:r>
          </w:p>
        </w:tc>
      </w:tr>
      <w:tr>
        <w:tc>
          <w:tcPr>
            <w:tcW w:type="dxa" w:w="3118"/>
            <w:vAlign w:val="center"/>
            <w:tcMar>
              <w:top w:w="90" w:type="dxa"/>
              <w:start w:w="100" w:type="dxa"/>
              <w:bottom w:w="90" w:type="dxa"/>
              <w:end w:w="100" w:type="dxa"/>
            </w:tcMar>
            <w:shd w:fill="F8FAFC"/>
          </w:tcPr>
          <w:p>
            <w:pPr>
              <w:keepNext w:val="0"/>
              <w:keepLines w:val="0"/>
              <w:spacing w:before="0" w:after="0" w:line="264" w:lineRule="auto"/>
              <w:jc w:val="right"/>
              <w:bidi w:val="1"/>
            </w:pPr>
            <w:r/>
            <w:r>
              <w:rPr>
                <w:rFonts w:ascii="Noto Naskh Arabic" w:hAnsi="Noto Naskh Arabic" w:eastAsia="Noto Naskh Arabic" w:cs="Noto Naskh Arabic"/>
                <w:b/>
                <w:i w:val="0"/>
                <w:color w:val="1F4E79"/>
                <w:sz w:val="17"/>
                <w:rtl w:val="1"/>
              </w:rPr>
              <w:t>برنامهٔ تثبیت صندوق بین‌المللی پول</w:t>
            </w:r>
          </w:p>
        </w:tc>
        <w:tc>
          <w:tcPr>
            <w:tcW w:type="dxa" w:w="2551"/>
            <w:vAlign w:val="center"/>
            <w:tcMar>
              <w:top w:w="90" w:type="dxa"/>
              <w:start w:w="100" w:type="dxa"/>
              <w:bottom w:w="90" w:type="dxa"/>
              <w:end w:w="100" w:type="dxa"/>
            </w:tcMar>
            <w:shd w:fill="F8FAFC"/>
          </w:tcPr>
          <w:p>
            <w:pPr>
              <w:keepNext w:val="0"/>
              <w:keepLines w:val="0"/>
              <w:spacing w:before="0" w:after="0" w:line="264" w:lineRule="auto"/>
              <w:jc w:val="center"/>
              <w:bidi w:val="1"/>
            </w:pPr>
            <w:r/>
            <w:r>
              <w:rPr>
                <w:rFonts w:ascii="Noto Naskh Arabic" w:hAnsi="Noto Naskh Arabic" w:eastAsia="Noto Naskh Arabic" w:cs="Noto Naskh Arabic"/>
                <w:b/>
                <w:i w:val="0"/>
                <w:color w:val="2E7D32"/>
                <w:sz w:val="17"/>
                <w:rtl w:val="1"/>
              </w:rPr>
              <w:t>حدود ۱۰ میلیارد دلار</w:t>
            </w:r>
          </w:p>
        </w:tc>
        <w:tc>
          <w:tcPr>
            <w:tcW w:type="dxa" w:w="3515"/>
            <w:vAlign w:val="center"/>
            <w:tcMar>
              <w:top w:w="90" w:type="dxa"/>
              <w:start w:w="100" w:type="dxa"/>
              <w:bottom w:w="90" w:type="dxa"/>
              <w:end w:w="100" w:type="dxa"/>
            </w:tcMar>
            <w:shd w:fill="F8FAFC"/>
          </w:tcPr>
          <w:p>
            <w:pPr>
              <w:keepNext w:val="0"/>
              <w:keepLines w:val="0"/>
              <w:spacing w:before="0" w:after="0" w:line="264" w:lineRule="auto"/>
              <w:jc w:val="right"/>
              <w:bidi w:val="1"/>
            </w:pPr>
            <w:r/>
            <w:r>
              <w:rPr>
                <w:rFonts w:ascii="Noto Naskh Arabic" w:hAnsi="Noto Naskh Arabic" w:eastAsia="Noto Naskh Arabic" w:cs="Noto Naskh Arabic"/>
                <w:b w:val="0"/>
                <w:i w:val="0"/>
                <w:color w:val="1F2937"/>
                <w:sz w:val="17"/>
                <w:rtl w:val="1"/>
              </w:rPr>
              <w:t>ذخایر ارزی، اصلاح پولی، نظام بانکی و تراز پرداخت‌ها.</w:t>
            </w:r>
          </w:p>
        </w:tc>
      </w:tr>
      <w:tr>
        <w:tc>
          <w:tcPr>
            <w:tcW w:type="dxa" w:w="3118"/>
            <w:vAlign w:val="center"/>
            <w:tcMar>
              <w:top w:w="90" w:type="dxa"/>
              <w:start w:w="100" w:type="dxa"/>
              <w:bottom w:w="90" w:type="dxa"/>
              <w:end w:w="100" w:type="dxa"/>
            </w:tcMar>
            <w:shd w:fill="FFFFFF"/>
          </w:tcPr>
          <w:p>
            <w:pPr>
              <w:keepNext w:val="0"/>
              <w:keepLines w:val="0"/>
              <w:spacing w:before="0" w:after="0" w:line="264" w:lineRule="auto"/>
              <w:jc w:val="right"/>
              <w:bidi w:val="1"/>
            </w:pPr>
            <w:r/>
            <w:r>
              <w:rPr>
                <w:rFonts w:ascii="Noto Naskh Arabic" w:hAnsi="Noto Naskh Arabic" w:eastAsia="Noto Naskh Arabic" w:cs="Noto Naskh Arabic"/>
                <w:b/>
                <w:i w:val="0"/>
                <w:color w:val="1F4E79"/>
                <w:sz w:val="17"/>
                <w:rtl w:val="1"/>
              </w:rPr>
              <w:t>اروپا، ژاپن و کشورهای خلیج فارس</w:t>
            </w:r>
          </w:p>
        </w:tc>
        <w:tc>
          <w:tcPr>
            <w:tcW w:type="dxa" w:w="2551"/>
            <w:vAlign w:val="center"/>
            <w:tcMar>
              <w:top w:w="90" w:type="dxa"/>
              <w:start w:w="100" w:type="dxa"/>
              <w:bottom w:w="90" w:type="dxa"/>
              <w:end w:w="100" w:type="dxa"/>
            </w:tcMar>
            <w:shd w:fill="FFFFFF"/>
          </w:tcPr>
          <w:p>
            <w:pPr>
              <w:keepNext w:val="0"/>
              <w:keepLines w:val="0"/>
              <w:spacing w:before="0" w:after="0" w:line="264" w:lineRule="auto"/>
              <w:jc w:val="center"/>
              <w:bidi w:val="1"/>
            </w:pPr>
            <w:r/>
            <w:r>
              <w:rPr>
                <w:rFonts w:ascii="Noto Naskh Arabic" w:hAnsi="Noto Naskh Arabic" w:eastAsia="Noto Naskh Arabic" w:cs="Noto Naskh Arabic"/>
                <w:b/>
                <w:i w:val="0"/>
                <w:color w:val="2E7D32"/>
                <w:sz w:val="17"/>
                <w:rtl w:val="1"/>
              </w:rPr>
              <w:t>۱۵ تا ۲۰ میلیارد دلار</w:t>
            </w:r>
          </w:p>
        </w:tc>
        <w:tc>
          <w:tcPr>
            <w:tcW w:type="dxa" w:w="3515"/>
            <w:vAlign w:val="center"/>
            <w:tcMar>
              <w:top w:w="90" w:type="dxa"/>
              <w:start w:w="100" w:type="dxa"/>
              <w:bottom w:w="90" w:type="dxa"/>
              <w:end w:w="100" w:type="dxa"/>
            </w:tcMar>
            <w:shd w:fill="FFFFFF"/>
          </w:tcPr>
          <w:p>
            <w:pPr>
              <w:keepNext w:val="0"/>
              <w:keepLines w:val="0"/>
              <w:spacing w:before="0" w:after="0" w:line="264" w:lineRule="auto"/>
              <w:jc w:val="right"/>
              <w:bidi w:val="1"/>
            </w:pPr>
            <w:r/>
            <w:r>
              <w:rPr>
                <w:rFonts w:ascii="Noto Naskh Arabic" w:hAnsi="Noto Naskh Arabic" w:eastAsia="Noto Naskh Arabic" w:cs="Noto Naskh Arabic"/>
                <w:b w:val="0"/>
                <w:i w:val="0"/>
                <w:color w:val="1F2937"/>
                <w:sz w:val="17"/>
                <w:rtl w:val="1"/>
              </w:rPr>
              <w:t>اعتبار صادراتی، انرژی، آب، راه‌آهن، بنادر و بیمه.</w:t>
            </w:r>
          </w:p>
        </w:tc>
      </w:tr>
      <w:tr>
        <w:tc>
          <w:tcPr>
            <w:tcW w:type="dxa" w:w="3118"/>
            <w:vAlign w:val="center"/>
            <w:tcMar>
              <w:top w:w="90" w:type="dxa"/>
              <w:start w:w="100" w:type="dxa"/>
              <w:bottom w:w="90" w:type="dxa"/>
              <w:end w:w="100" w:type="dxa"/>
            </w:tcMar>
            <w:shd w:fill="F8FAFC"/>
          </w:tcPr>
          <w:p>
            <w:pPr>
              <w:keepNext w:val="0"/>
              <w:keepLines w:val="0"/>
              <w:spacing w:before="0" w:after="0" w:line="264" w:lineRule="auto"/>
              <w:jc w:val="right"/>
              <w:bidi w:val="1"/>
            </w:pPr>
            <w:r/>
            <w:r>
              <w:rPr>
                <w:rFonts w:ascii="Noto Naskh Arabic" w:hAnsi="Noto Naskh Arabic" w:eastAsia="Noto Naskh Arabic" w:cs="Noto Naskh Arabic"/>
                <w:b/>
                <w:i w:val="0"/>
                <w:color w:val="1F4E79"/>
                <w:sz w:val="17"/>
                <w:rtl w:val="1"/>
              </w:rPr>
              <w:t>سرمایه‌گذاری مستقیم و اوراق داوطلبانهٔ دیاسپورا</w:t>
            </w:r>
          </w:p>
        </w:tc>
        <w:tc>
          <w:tcPr>
            <w:tcW w:type="dxa" w:w="2551"/>
            <w:vAlign w:val="center"/>
            <w:tcMar>
              <w:top w:w="90" w:type="dxa"/>
              <w:start w:w="100" w:type="dxa"/>
              <w:bottom w:w="90" w:type="dxa"/>
              <w:end w:w="100" w:type="dxa"/>
            </w:tcMar>
            <w:shd w:fill="F8FAFC"/>
          </w:tcPr>
          <w:p>
            <w:pPr>
              <w:keepNext w:val="0"/>
              <w:keepLines w:val="0"/>
              <w:spacing w:before="0" w:after="0" w:line="264" w:lineRule="auto"/>
              <w:jc w:val="center"/>
              <w:bidi w:val="1"/>
            </w:pPr>
            <w:r/>
            <w:r>
              <w:rPr>
                <w:rFonts w:ascii="Noto Naskh Arabic" w:hAnsi="Noto Naskh Arabic" w:eastAsia="Noto Naskh Arabic" w:cs="Noto Naskh Arabic"/>
                <w:b/>
                <w:i w:val="0"/>
                <w:color w:val="2E7D32"/>
                <w:sz w:val="17"/>
                <w:rtl w:val="1"/>
              </w:rPr>
              <w:t>۲۰ تا ۲۵ میلیارد دلار</w:t>
            </w:r>
          </w:p>
        </w:tc>
        <w:tc>
          <w:tcPr>
            <w:tcW w:type="dxa" w:w="3515"/>
            <w:vAlign w:val="center"/>
            <w:tcMar>
              <w:top w:w="90" w:type="dxa"/>
              <w:start w:w="100" w:type="dxa"/>
              <w:bottom w:w="90" w:type="dxa"/>
              <w:end w:w="100" w:type="dxa"/>
            </w:tcMar>
            <w:shd w:fill="F8FAFC"/>
          </w:tcPr>
          <w:p>
            <w:pPr>
              <w:keepNext w:val="0"/>
              <w:keepLines w:val="0"/>
              <w:spacing w:before="0" w:after="0" w:line="264" w:lineRule="auto"/>
              <w:jc w:val="right"/>
              <w:bidi w:val="1"/>
            </w:pPr>
            <w:r/>
            <w:r>
              <w:rPr>
                <w:rFonts w:ascii="Noto Naskh Arabic" w:hAnsi="Noto Naskh Arabic" w:eastAsia="Noto Naskh Arabic" w:cs="Noto Naskh Arabic"/>
                <w:b w:val="0"/>
                <w:i w:val="0"/>
                <w:color w:val="1F2937"/>
                <w:sz w:val="17"/>
                <w:rtl w:val="1"/>
              </w:rPr>
              <w:t>شرکت‌ها، فناوری، مسکن، گردشگری و صنایع صادراتی.</w:t>
            </w:r>
          </w:p>
        </w:tc>
      </w:tr>
    </w:tbl>
    <w:p>
      <w:pPr>
        <w:keepNext w:val="0"/>
        <w:keepLines w:val="0"/>
        <w:spacing w:before="60" w:after="140" w:line="240" w:lineRule="auto"/>
        <w:jc w:val="center"/>
        <w:bidi w:val="1"/>
        <w:widowControl w:val="1"/>
      </w:pPr>
      <w:r>
        <w:rPr>
          <w:rFonts w:ascii="Noto Naskh Arabic" w:hAnsi="Noto Naskh Arabic" w:eastAsia="Noto Naskh Arabic" w:cs="Noto Naskh Arabic"/>
          <w:b w:val="0"/>
          <w:i/>
          <w:color w:val="6B7280"/>
          <w:sz w:val="18"/>
          <w:rtl w:val="1"/>
        </w:rPr>
        <w:t>جدول ۵. بستهٔ فرضی حدود ۷۵ میلیارد دلار طی پنج تا هفت سال؛ این ارقام تعهد هیچ نهادی نیستند.</w:t>
      </w:r>
    </w:p>
    <w:p>
      <w:pPr>
        <w:keepNext w:val="0"/>
        <w:keepLines w:val="0"/>
        <w:spacing w:before="0" w:after="120" w:line="300" w:lineRule="auto"/>
        <w:jc w:val="both"/>
        <w:bidi w:val="1"/>
        <w:widowControl w:val="1"/>
      </w:pPr>
      <w:r>
        <w:rPr>
          <w:rFonts w:ascii="Noto Naskh Arabic" w:hAnsi="Noto Naskh Arabic" w:eastAsia="Noto Naskh Arabic" w:cs="Noto Naskh Arabic"/>
          <w:b w:val="0"/>
          <w:i w:val="0"/>
          <w:color w:val="1F2937"/>
          <w:sz w:val="22"/>
          <w:rtl w:val="1"/>
        </w:rPr>
        <w:t>این معماری مالی باید ترکیبی باشد، نه یک فقره وام نقدی بی‌قید. MIGA و دیگر نهادهای تضمین‌کننده می‌توانند ریسک جنگ، آشوب، مصادره یا محدودیت انتقال پول را پوشش دهند و از این طریق سرمایهٔ خصوصی را بسیج کنند. صندوق بین‌المللی پول نیز فقط در قالب برنامه‌ای با شروط روشن ثبات پولی و توان بازپرداخت وارد می‌شود. [۱۳–۱۵]</w:t>
      </w:r>
    </w:p>
    <w:p>
      <w:pPr>
        <w:keepNext w:val="0"/>
        <w:keepLines w:val="0"/>
        <w:spacing w:before="0" w:after="120" w:line="300" w:lineRule="auto"/>
        <w:jc w:val="both"/>
        <w:bidi w:val="1"/>
        <w:widowControl w:val="1"/>
      </w:pPr>
      <w:r>
        <w:rPr>
          <w:rFonts w:ascii="Noto Naskh Arabic" w:hAnsi="Noto Naskh Arabic" w:eastAsia="Noto Naskh Arabic" w:cs="Noto Naskh Arabic"/>
          <w:b w:val="0"/>
          <w:i w:val="0"/>
          <w:color w:val="1F2937"/>
          <w:sz w:val="22"/>
          <w:rtl w:val="1"/>
        </w:rPr>
        <w:t>وام بازسازی نباید خرج دستگاه تبلیغاتی، استخدام سیاسی، یارانهٔ کور یا دربار پرهزینه شود. هر دلار بدهی باید به ظرفیت تولید و درآمد آینده پیوند داشته باشد. بازپرداخت باید از رشد صادرات غیرنفتی، مالیات شفاف، درآمد پروژه‌ها، سود صندوق ثروت ملی و افزایش بهره‌وری صورت گیرد؛ نه از چاپ پول یا وثیقه کردن محرمانهٔ منابع طبیعی.</w:t>
      </w:r>
    </w:p>
    <w:tbl>
      <w:tblPr>
        <w:tblW w:type="auto" w:w="0"/>
        <w:jc w:val="center"/>
        <w:tblLayout w:type="fixed"/>
        <w:tblLook w:firstColumn="1" w:firstRow="1" w:lastColumn="0" w:lastRow="0" w:noHBand="0" w:noVBand="1" w:val="04A0"/>
      </w:tblPr>
      <w:tblGrid>
        <w:gridCol w:w="9922"/>
      </w:tblGrid>
      <w:tr>
        <w:tc>
          <w:tcPr>
            <w:tcW w:type="dxa" w:w="8957"/>
            <w:shd w:fill="EAF2F8"/>
            <w:tcMar>
              <w:top w:w="160" w:type="dxa"/>
              <w:start w:w="220" w:type="dxa"/>
              <w:bottom w:w="160" w:type="dxa"/>
              <w:end w:w="220" w:type="dxa"/>
            </w:tcMar>
            <w:tcBorders>
              <w:top w:val="single" w:sz="10" w:color="1F4E79"/>
              <w:left w:val="single" w:sz="10" w:color="1F4E79"/>
              <w:bottom w:val="single" w:sz="10" w:color="1F4E79"/>
              <w:right w:val="single" w:sz="10" w:color="1F4E79"/>
            </w:tcBorders>
          </w:tcPr>
          <w:p>
            <w:pPr>
              <w:keepNext w:val="0"/>
              <w:keepLines w:val="0"/>
              <w:spacing w:before="0" w:after="0" w:line="288" w:lineRule="auto"/>
              <w:jc w:val="center"/>
              <w:bidi w:val="1"/>
            </w:pPr>
            <w:r>
              <w:rPr>
                <w:rFonts w:ascii="Noto Naskh Arabic" w:hAnsi="Noto Naskh Arabic" w:eastAsia="Noto Naskh Arabic" w:cs="Noto Naskh Arabic"/>
                <w:b/>
                <w:i w:val="0"/>
                <w:color w:val="17365D"/>
                <w:sz w:val="24"/>
                <w:rtl w:val="1"/>
              </w:rPr>
              <w:t>«نام پهلوی می‌تواند اعتبار سیاسی اولیه بسازد؛ وثیقهٔ واقعی وام، قانون، پروژه، ترازنامه و اعتماد است.»</w:t>
            </w:r>
          </w:p>
        </w:tc>
      </w:tr>
    </w:tbl>
    <w:p>
      <w:pPr>
        <w:spacing w:after="0"/>
        <w:widowControl w:val="1"/>
      </w:pPr>
    </w:p>
    <w:p>
      <w:pPr>
        <w:pStyle w:val="Heading1"/>
        <w:keepNext/>
        <w:keepLines w:val="0"/>
        <w:spacing w:before="200" w:after="100" w:line="252" w:lineRule="auto"/>
        <w:jc w:val="right"/>
        <w:bidi w:val="1"/>
        <w:pBdr>
          <w:bottom w:val="single" w:sz="8" w:space="5" w:color="B8872E"/>
        </w:pBdr>
        <w:widowControl w:val="1"/>
      </w:pPr>
      <w:r>
        <w:rPr>
          <w:rFonts w:ascii="Noto Sans Arabic" w:hAnsi="Noto Sans Arabic" w:eastAsia="Noto Sans Arabic" w:cs="Noto Sans Arabic"/>
          <w:b/>
          <w:i w:val="0"/>
          <w:color w:val="17365D"/>
          <w:sz w:val="32"/>
          <w:rtl w:val="1"/>
        </w:rPr>
        <w:t>۱۱. امپراتوری خوشنام؛ نه امپراتوری سرزمین</w:t>
      </w:r>
    </w:p>
    <w:p>
      <w:pPr>
        <w:keepNext w:val="0"/>
        <w:keepLines w:val="0"/>
        <w:spacing w:before="0" w:after="120" w:line="300" w:lineRule="auto"/>
        <w:jc w:val="both"/>
        <w:bidi w:val="1"/>
        <w:widowControl w:val="1"/>
      </w:pPr>
      <w:r>
        <w:rPr>
          <w:rFonts w:ascii="Noto Naskh Arabic" w:hAnsi="Noto Naskh Arabic" w:eastAsia="Noto Naskh Arabic" w:cs="Noto Naskh Arabic"/>
          <w:b w:val="0"/>
          <w:i w:val="0"/>
          <w:color w:val="1F2937"/>
          <w:sz w:val="22"/>
          <w:rtl w:val="1"/>
        </w:rPr>
        <w:t>ایران قرن بیست‌ویکم قرار نیست امپراتوری هخامنشی را با لشکرکشی و گسترش مرز بازسازی کند. بازگشت به شکوه، معنایی مدرن دارد:</w:t>
      </w:r>
    </w:p>
    <w:p>
      <w:pPr>
        <w:pStyle w:val="ListBullet"/>
        <w:keepNext w:val="0"/>
        <w:keepLines w:val="0"/>
        <w:spacing w:before="0" w:after="60" w:line="283" w:lineRule="auto"/>
        <w:ind w:right="255"/>
        <w:jc w:val="both"/>
        <w:bidi w:val="1"/>
        <w:widowControl w:val="1"/>
      </w:pPr>
      <w:r>
        <w:rPr>
          <w:rFonts w:ascii="Noto Naskh Arabic" w:hAnsi="Noto Naskh Arabic" w:eastAsia="Noto Naskh Arabic" w:cs="Noto Naskh Arabic"/>
          <w:b w:val="0"/>
          <w:i w:val="0"/>
          <w:color w:val="17365D"/>
          <w:sz w:val="22"/>
          <w:rtl w:val="1"/>
        </w:rPr>
        <w:t>امپراتوری قانون، نه اشغال؛</w:t>
      </w:r>
    </w:p>
    <w:p>
      <w:pPr>
        <w:pStyle w:val="ListBullet"/>
        <w:keepNext w:val="0"/>
        <w:keepLines w:val="0"/>
        <w:spacing w:before="0" w:after="60" w:line="283" w:lineRule="auto"/>
        <w:ind w:right="255"/>
        <w:jc w:val="both"/>
        <w:bidi w:val="1"/>
        <w:widowControl w:val="1"/>
      </w:pPr>
      <w:r>
        <w:rPr>
          <w:rFonts w:ascii="Noto Naskh Arabic" w:hAnsi="Noto Naskh Arabic" w:eastAsia="Noto Naskh Arabic" w:cs="Noto Naskh Arabic"/>
          <w:b w:val="0"/>
          <w:i w:val="0"/>
          <w:color w:val="17365D"/>
          <w:sz w:val="22"/>
          <w:rtl w:val="1"/>
        </w:rPr>
        <w:t>امپراتوری فرهنگ، نه اجبار؛</w:t>
      </w:r>
    </w:p>
    <w:p>
      <w:pPr>
        <w:pStyle w:val="ListBullet"/>
        <w:keepNext w:val="0"/>
        <w:keepLines w:val="0"/>
        <w:spacing w:before="0" w:after="60" w:line="283" w:lineRule="auto"/>
        <w:ind w:right="255"/>
        <w:jc w:val="both"/>
        <w:bidi w:val="1"/>
        <w:widowControl w:val="1"/>
      </w:pPr>
      <w:r>
        <w:rPr>
          <w:rFonts w:ascii="Noto Naskh Arabic" w:hAnsi="Noto Naskh Arabic" w:eastAsia="Noto Naskh Arabic" w:cs="Noto Naskh Arabic"/>
          <w:b w:val="0"/>
          <w:i w:val="0"/>
          <w:color w:val="17365D"/>
          <w:sz w:val="22"/>
          <w:rtl w:val="1"/>
        </w:rPr>
        <w:t>امپراتوری تجارت، نه موشک؛</w:t>
      </w:r>
    </w:p>
    <w:p>
      <w:pPr>
        <w:pStyle w:val="ListBullet"/>
        <w:keepNext w:val="0"/>
        <w:keepLines w:val="0"/>
        <w:spacing w:before="0" w:after="60" w:line="283" w:lineRule="auto"/>
        <w:ind w:right="255"/>
        <w:jc w:val="both"/>
        <w:bidi w:val="1"/>
        <w:widowControl w:val="1"/>
      </w:pPr>
      <w:r>
        <w:rPr>
          <w:rFonts w:ascii="Noto Naskh Arabic" w:hAnsi="Noto Naskh Arabic" w:eastAsia="Noto Naskh Arabic" w:cs="Noto Naskh Arabic"/>
          <w:b w:val="0"/>
          <w:i w:val="0"/>
          <w:color w:val="17365D"/>
          <w:sz w:val="22"/>
          <w:rtl w:val="1"/>
        </w:rPr>
        <w:t>امپراتوری دانشگاه، پزشکی و فناوری، نه نیروی نیابتی؛</w:t>
      </w:r>
    </w:p>
    <w:p>
      <w:pPr>
        <w:pStyle w:val="ListBullet"/>
        <w:keepNext w:val="0"/>
        <w:keepLines w:val="0"/>
        <w:spacing w:before="0" w:after="60" w:line="283" w:lineRule="auto"/>
        <w:ind w:right="255"/>
        <w:jc w:val="both"/>
        <w:bidi w:val="1"/>
        <w:widowControl w:val="1"/>
      </w:pPr>
      <w:r>
        <w:rPr>
          <w:rFonts w:ascii="Noto Naskh Arabic" w:hAnsi="Noto Naskh Arabic" w:eastAsia="Noto Naskh Arabic" w:cs="Noto Naskh Arabic"/>
          <w:b w:val="0"/>
          <w:i w:val="0"/>
          <w:color w:val="17365D"/>
          <w:sz w:val="22"/>
          <w:rtl w:val="1"/>
        </w:rPr>
        <w:t>امپراتوری اعتبار، نه وحشت.</w:t>
      </w:r>
    </w:p>
    <w:p>
      <w:pPr>
        <w:keepNext w:val="0"/>
        <w:keepLines w:val="0"/>
        <w:spacing w:before="0" w:after="120" w:line="300" w:lineRule="auto"/>
        <w:jc w:val="both"/>
        <w:bidi w:val="1"/>
        <w:widowControl w:val="1"/>
      </w:pPr>
      <w:r>
        <w:rPr>
          <w:rFonts w:ascii="Noto Naskh Arabic" w:hAnsi="Noto Naskh Arabic" w:eastAsia="Noto Naskh Arabic" w:cs="Noto Naskh Arabic"/>
          <w:b w:val="0"/>
          <w:i w:val="0"/>
          <w:color w:val="1F2937"/>
          <w:sz w:val="22"/>
          <w:rtl w:val="1"/>
        </w:rPr>
        <w:t>ایران می‌تواند آن‌قدر خوشنام، باثبات و مولد شود که بازرگان عرب، مهندس اروپایی، دانشمند اسرائیلی، سرمایه‌گذار آمریکایی، صنعتگر هندی و کارآفرین ایرانی بخواهند با آن همکاری کنند؛ نه از ترس موشک، بلکه به دلیل اعتماد به قرارداد، کیفیت دانش و ثبات قانون. قدرت پایدار از مالیات پاسخ‌گو، دانشگاه آزاد، دادگاه مستقل، بازار رقابتی، مدیریت آب و صلح منطقه‌ای می‌آید. [۹، ۲۵، ۳۲]</w:t>
      </w:r>
    </w:p>
    <w:p>
      <w:pPr>
        <w:keepNext w:val="0"/>
        <w:keepLines w:val="0"/>
        <w:spacing w:before="0" w:after="120" w:line="300" w:lineRule="auto"/>
        <w:jc w:val="both"/>
        <w:bidi w:val="1"/>
        <w:widowControl w:val="1"/>
      </w:pPr>
      <w:r>
        <w:rPr>
          <w:rFonts w:ascii="Noto Naskh Arabic" w:hAnsi="Noto Naskh Arabic" w:eastAsia="Noto Naskh Arabic" w:cs="Noto Naskh Arabic"/>
          <w:b w:val="0"/>
          <w:i w:val="0"/>
          <w:color w:val="1F2937"/>
          <w:sz w:val="22"/>
          <w:rtl w:val="1"/>
        </w:rPr>
        <w:t>در چنین ایرانی، کوروش ابزار تبلیغات حکومتی نیست؛ نماد این اصل است که قدرت زمانی بزرگ است که بتواند خود را محدود کند. شیر و خورشید نیز نه نشان حذف جمهوری‌خواه، چپ، کرد، بلوچ، عرب، آذری، مسلمان، بهایی، یهودی، مسیحی یا بی‌دین، بلکه سایه‌بان شهروندی برابر خواهد بود. [۳۲–۳۵]</w:t>
      </w:r>
    </w:p>
    <w:p>
      <w:pPr>
        <w:pStyle w:val="Heading1"/>
        <w:keepNext/>
        <w:keepLines w:val="0"/>
        <w:spacing w:before="200" w:after="100" w:line="252" w:lineRule="auto"/>
        <w:jc w:val="right"/>
        <w:bidi w:val="1"/>
        <w:pBdr>
          <w:bottom w:val="single" w:sz="8" w:space="5" w:color="B8872E"/>
        </w:pBdr>
        <w:widowControl w:val="1"/>
      </w:pPr>
      <w:r>
        <w:rPr>
          <w:rFonts w:ascii="Noto Sans Arabic" w:hAnsi="Noto Sans Arabic" w:eastAsia="Noto Sans Arabic" w:cs="Noto Sans Arabic"/>
          <w:b/>
          <w:i w:val="0"/>
          <w:color w:val="17365D"/>
          <w:sz w:val="32"/>
          <w:rtl w:val="1"/>
        </w:rPr>
        <w:t>۱۲. نتیجه‌گیری: شاهزاده می‌تواند در را باز کند؛ نهادها باید آن را باز نگه دارند</w:t>
      </w:r>
    </w:p>
    <w:p>
      <w:pPr>
        <w:keepNext w:val="0"/>
        <w:keepLines w:val="0"/>
        <w:spacing w:before="0" w:after="120" w:line="300" w:lineRule="auto"/>
        <w:jc w:val="both"/>
        <w:bidi w:val="1"/>
        <w:widowControl w:val="1"/>
      </w:pPr>
      <w:r>
        <w:rPr>
          <w:rFonts w:ascii="Noto Naskh Arabic" w:hAnsi="Noto Naskh Arabic" w:eastAsia="Noto Naskh Arabic" w:cs="Noto Naskh Arabic"/>
          <w:b w:val="0"/>
          <w:i w:val="0"/>
          <w:color w:val="1F2937"/>
          <w:sz w:val="22"/>
          <w:rtl w:val="1"/>
        </w:rPr>
        <w:t>در این سناریوی حماسی، شاهزاده رضا پهلوی به ایران بازمی‌گردد، ائتلافی ملی را گرد می‌آورد، جمهوری اسلامی پایان می‌یابد و مردم در فرایندی آزاد پادشاهی مشروطهٔ پارلمانی را انتخاب می‌کنند. اما حماسهٔ حقیقی در لحظهٔ ورود هواپیما یا مراسم تاج‌گذاری خلاصه نمی‌شود. حماسهٔ واقعی زمانی آغاز می‌شود که قدرت از حق ویژه به امانت عمومی تبدیل شود.</w:t>
      </w:r>
    </w:p>
    <w:p>
      <w:pPr>
        <w:keepNext w:val="0"/>
        <w:keepLines w:val="0"/>
        <w:spacing w:before="0" w:after="120" w:line="300" w:lineRule="auto"/>
        <w:jc w:val="both"/>
        <w:bidi w:val="1"/>
        <w:widowControl w:val="1"/>
      </w:pPr>
      <w:r>
        <w:rPr>
          <w:rFonts w:ascii="Noto Naskh Arabic" w:hAnsi="Noto Naskh Arabic" w:eastAsia="Noto Naskh Arabic" w:cs="Noto Naskh Arabic"/>
          <w:b w:val="0"/>
          <w:i w:val="0"/>
          <w:color w:val="1F2937"/>
          <w:sz w:val="22"/>
          <w:rtl w:val="1"/>
        </w:rPr>
        <w:t>معیارهای حماسهٔ واقعی عبارت‌اند از:</w:t>
      </w:r>
    </w:p>
    <w:p>
      <w:pPr>
        <w:pStyle w:val="ListBullet"/>
        <w:keepNext w:val="0"/>
        <w:keepLines w:val="0"/>
        <w:spacing w:before="0" w:after="60" w:line="283" w:lineRule="auto"/>
        <w:ind w:right="255"/>
        <w:jc w:val="both"/>
        <w:bidi w:val="1"/>
        <w:widowControl w:val="1"/>
      </w:pPr>
      <w:r>
        <w:rPr>
          <w:rFonts w:ascii="Noto Naskh Arabic" w:hAnsi="Noto Naskh Arabic" w:eastAsia="Noto Naskh Arabic" w:cs="Noto Naskh Arabic"/>
          <w:b w:val="0"/>
          <w:i w:val="0"/>
          <w:color w:val="1F2937"/>
          <w:sz w:val="22"/>
          <w:rtl w:val="1"/>
        </w:rPr>
        <w:t>نخستین زندانی سیاسی بدون معامله آزاد شود؛</w:t>
      </w:r>
    </w:p>
    <w:p>
      <w:pPr>
        <w:pStyle w:val="ListBullet"/>
        <w:keepNext w:val="0"/>
        <w:keepLines w:val="0"/>
        <w:spacing w:before="0" w:after="60" w:line="283" w:lineRule="auto"/>
        <w:ind w:right="255"/>
        <w:jc w:val="both"/>
        <w:bidi w:val="1"/>
        <w:widowControl w:val="1"/>
      </w:pPr>
      <w:r>
        <w:rPr>
          <w:rFonts w:ascii="Noto Naskh Arabic" w:hAnsi="Noto Naskh Arabic" w:eastAsia="Noto Naskh Arabic" w:cs="Noto Naskh Arabic"/>
          <w:b w:val="0"/>
          <w:i w:val="0"/>
          <w:color w:val="1F2937"/>
          <w:sz w:val="22"/>
          <w:rtl w:val="1"/>
        </w:rPr>
        <w:t>نخستین زن بدون تبعیض وزیر، قاضی، فرمانده یا کارآفرین شود؛</w:t>
      </w:r>
    </w:p>
    <w:p>
      <w:pPr>
        <w:pStyle w:val="ListBullet"/>
        <w:keepNext w:val="0"/>
        <w:keepLines w:val="0"/>
        <w:spacing w:before="0" w:after="60" w:line="283" w:lineRule="auto"/>
        <w:ind w:right="255"/>
        <w:jc w:val="both"/>
        <w:bidi w:val="1"/>
        <w:widowControl w:val="1"/>
      </w:pPr>
      <w:r>
        <w:rPr>
          <w:rFonts w:ascii="Noto Naskh Arabic" w:hAnsi="Noto Naskh Arabic" w:eastAsia="Noto Naskh Arabic" w:cs="Noto Naskh Arabic"/>
          <w:b w:val="0"/>
          <w:i w:val="0"/>
          <w:color w:val="1F2937"/>
          <w:sz w:val="22"/>
          <w:rtl w:val="1"/>
        </w:rPr>
        <w:t>نخستین دادگاه علیه دولت و به سود یک شهروند حکم دهد؛</w:t>
      </w:r>
    </w:p>
    <w:p>
      <w:pPr>
        <w:pStyle w:val="ListBullet"/>
        <w:keepNext w:val="0"/>
        <w:keepLines w:val="0"/>
        <w:spacing w:before="0" w:after="60" w:line="283" w:lineRule="auto"/>
        <w:ind w:right="255"/>
        <w:jc w:val="both"/>
        <w:bidi w:val="1"/>
        <w:widowControl w:val="1"/>
      </w:pPr>
      <w:r>
        <w:rPr>
          <w:rFonts w:ascii="Noto Naskh Arabic" w:hAnsi="Noto Naskh Arabic" w:eastAsia="Noto Naskh Arabic" w:cs="Noto Naskh Arabic"/>
          <w:b w:val="0"/>
          <w:i w:val="0"/>
          <w:color w:val="1F2937"/>
          <w:sz w:val="22"/>
          <w:rtl w:val="1"/>
        </w:rPr>
        <w:t>نخستین حزب حاکم در انتخابات شکست بخورد و مسالمت‌آمیز قدرت را واگذار کند؛</w:t>
      </w:r>
    </w:p>
    <w:p>
      <w:pPr>
        <w:pStyle w:val="ListBullet"/>
        <w:keepNext w:val="0"/>
        <w:keepLines w:val="0"/>
        <w:spacing w:before="0" w:after="60" w:line="283" w:lineRule="auto"/>
        <w:ind w:right="255"/>
        <w:jc w:val="both"/>
        <w:bidi w:val="1"/>
        <w:widowControl w:val="1"/>
      </w:pPr>
      <w:r>
        <w:rPr>
          <w:rFonts w:ascii="Noto Naskh Arabic" w:hAnsi="Noto Naskh Arabic" w:eastAsia="Noto Naskh Arabic" w:cs="Noto Naskh Arabic"/>
          <w:b w:val="0"/>
          <w:i w:val="0"/>
          <w:color w:val="1F2937"/>
          <w:sz w:val="22"/>
          <w:rtl w:val="1"/>
        </w:rPr>
        <w:t>نخستین قرارداد نفتی به‌طور کامل برای مردم منتشر شود؛</w:t>
      </w:r>
    </w:p>
    <w:p>
      <w:pPr>
        <w:pStyle w:val="ListBullet"/>
        <w:keepNext w:val="0"/>
        <w:keepLines w:val="0"/>
        <w:spacing w:before="0" w:after="60" w:line="283" w:lineRule="auto"/>
        <w:ind w:right="255"/>
        <w:jc w:val="both"/>
        <w:bidi w:val="1"/>
        <w:widowControl w:val="1"/>
      </w:pPr>
      <w:r>
        <w:rPr>
          <w:rFonts w:ascii="Noto Naskh Arabic" w:hAnsi="Noto Naskh Arabic" w:eastAsia="Noto Naskh Arabic" w:cs="Noto Naskh Arabic"/>
          <w:b w:val="0"/>
          <w:i w:val="0"/>
          <w:color w:val="1F2937"/>
          <w:sz w:val="22"/>
          <w:rtl w:val="1"/>
        </w:rPr>
        <w:t>و نخستین پادشاه مشروطه نشان دهد که قدرت نمادینش را برای حفاظت از قانون به کار می‌برد، نه برای حکومت کردن.</w:t>
      </w:r>
    </w:p>
    <w:p>
      <w:pPr>
        <w:keepNext w:val="0"/>
        <w:keepLines w:val="0"/>
        <w:spacing w:before="0" w:after="120" w:line="300" w:lineRule="auto"/>
        <w:jc w:val="both"/>
        <w:bidi w:val="1"/>
        <w:widowControl w:val="1"/>
      </w:pPr>
      <w:r>
        <w:rPr>
          <w:rFonts w:ascii="Noto Naskh Arabic" w:hAnsi="Noto Naskh Arabic" w:eastAsia="Noto Naskh Arabic" w:cs="Noto Naskh Arabic"/>
          <w:b w:val="0"/>
          <w:i w:val="0"/>
          <w:color w:val="1F2937"/>
          <w:sz w:val="22"/>
          <w:rtl w:val="1"/>
        </w:rPr>
        <w:t>نام پهلوی می‌تواند پل باشد؛ اما هیچ پلی مالک مقصد نیست. دفاع معتبر از نقش رضا پهلوی بر هماهنگی ائتلاف، پیوند با جهان و تضمین واگذاری قدرت به مجلس مؤسسان و رأی مردم استوار است. حامیان او نیز باید از دو افراط دوری کنند: تبدیل او به چهره‌ای بی‌خطا که هر نقدش توطئه است، و انتظار غیرواقعی که یک فرد بدون شبکه، حزب، نهاد و همکاری جمعی همهٔ مشکلات ایران را حل کند. [۲۶، ۳۲–۳۴]</w:t>
      </w:r>
    </w:p>
    <w:p>
      <w:pPr>
        <w:keepNext w:val="0"/>
        <w:keepLines w:val="0"/>
        <w:spacing w:before="0" w:after="120" w:line="300" w:lineRule="auto"/>
        <w:jc w:val="both"/>
        <w:bidi w:val="1"/>
        <w:widowControl w:val="1"/>
      </w:pPr>
      <w:r>
        <w:rPr>
          <w:rFonts w:ascii="Noto Naskh Arabic" w:hAnsi="Noto Naskh Arabic" w:eastAsia="Noto Naskh Arabic" w:cs="Noto Naskh Arabic"/>
          <w:b w:val="0"/>
          <w:i w:val="0"/>
          <w:color w:val="1F2937"/>
          <w:sz w:val="22"/>
          <w:rtl w:val="1"/>
        </w:rPr>
        <w:t>ایران نوین را یک نفر نمی‌سازد. آن را پزشک و پرستار، مهندس و کارگر، معلم و استاد، زن و مرد، کشاورز و صنعتگر، ارتشی میهن‌دوست، کارآفرین، هنرمند، روزنامه‌نگار، دانشجو و ایرانیان داخل و خارج با هم خواهند ساخت. شاهزاده می‌تواند جهت و هماهنگی بدهد؛ جامعه باید سازمان، نظارت و مشروعیت فراهم کند.</w:t>
      </w:r>
    </w:p>
    <w:tbl>
      <w:tblPr>
        <w:tblW w:type="auto" w:w="0"/>
        <w:jc w:val="center"/>
        <w:tblLayout w:type="fixed"/>
        <w:tblLook w:firstColumn="1" w:firstRow="1" w:lastColumn="0" w:lastRow="0" w:noHBand="0" w:noVBand="1" w:val="04A0"/>
      </w:tblPr>
      <w:tblGrid>
        <w:gridCol w:w="9922"/>
      </w:tblGrid>
      <w:tr>
        <w:tc>
          <w:tcPr>
            <w:tcW w:type="dxa" w:w="8957"/>
            <w:shd w:fill="EAF2F8"/>
            <w:tcMar>
              <w:top w:w="160" w:type="dxa"/>
              <w:start w:w="220" w:type="dxa"/>
              <w:bottom w:w="160" w:type="dxa"/>
              <w:end w:w="220" w:type="dxa"/>
            </w:tcMar>
            <w:tcBorders>
              <w:top w:val="single" w:sz="10" w:color="1F4E79"/>
              <w:left w:val="single" w:sz="10" w:color="1F4E79"/>
              <w:bottom w:val="single" w:sz="10" w:color="1F4E79"/>
              <w:right w:val="single" w:sz="10" w:color="1F4E79"/>
            </w:tcBorders>
          </w:tcPr>
          <w:p>
            <w:pPr>
              <w:keepNext w:val="0"/>
              <w:keepLines w:val="0"/>
              <w:spacing w:before="0" w:after="0" w:line="288" w:lineRule="auto"/>
              <w:jc w:val="center"/>
              <w:bidi w:val="1"/>
            </w:pPr>
            <w:r>
              <w:rPr>
                <w:rFonts w:ascii="Noto Naskh Arabic" w:hAnsi="Noto Naskh Arabic" w:eastAsia="Noto Naskh Arabic" w:cs="Noto Naskh Arabic"/>
                <w:b/>
                <w:i w:val="0"/>
                <w:color w:val="17365D"/>
                <w:sz w:val="24"/>
                <w:rtl w:val="1"/>
              </w:rPr>
              <w:t>منحنی سبز آینده با جادوی یک نام بالا نمی‌رود؛ با جمع شدن پنج سرمایه بالا می‌رود: سرمایهٔ انسانی، سرمایهٔ اجتماعی، سرمایهٔ نهادی، سرمایهٔ طبیعی و سرمایهٔ اعتماد جهانی.</w:t>
            </w:r>
          </w:p>
        </w:tc>
      </w:tr>
    </w:tbl>
    <w:p>
      <w:pPr>
        <w:spacing w:after="0"/>
        <w:widowControl w:val="1"/>
      </w:pPr>
    </w:p>
    <w:tbl>
      <w:tblPr>
        <w:tblW w:type="auto" w:w="0"/>
        <w:jc w:val="center"/>
        <w:tblLayout w:type="fixed"/>
        <w:tblLook w:firstColumn="1" w:firstRow="1" w:lastColumn="0" w:lastRow="0" w:noHBand="0" w:noVBand="1" w:val="04A0"/>
      </w:tblPr>
      <w:tblGrid>
        <w:gridCol w:w="9922"/>
      </w:tblGrid>
      <w:tr>
        <w:tc>
          <w:tcPr>
            <w:tcW w:type="dxa" w:w="8957"/>
            <w:shd w:fill="FBF5E6"/>
            <w:tcMar>
              <w:top w:w="160" w:type="dxa"/>
              <w:start w:w="220" w:type="dxa"/>
              <w:bottom w:w="160" w:type="dxa"/>
              <w:end w:w="220" w:type="dxa"/>
            </w:tcMar>
            <w:tcBorders>
              <w:top w:val="single" w:sz="10" w:color="B8872E"/>
              <w:left w:val="single" w:sz="10" w:color="B8872E"/>
              <w:bottom w:val="single" w:sz="10" w:color="B8872E"/>
              <w:right w:val="single" w:sz="10" w:color="B8872E"/>
            </w:tcBorders>
          </w:tcPr>
          <w:p>
            <w:pPr>
              <w:keepNext w:val="0"/>
              <w:keepLines w:val="0"/>
              <w:spacing w:before="0" w:after="0" w:line="288" w:lineRule="auto"/>
              <w:jc w:val="center"/>
              <w:bidi w:val="1"/>
            </w:pPr>
            <w:r>
              <w:rPr>
                <w:rFonts w:ascii="Noto Naskh Arabic" w:hAnsi="Noto Naskh Arabic" w:eastAsia="Noto Naskh Arabic" w:cs="Noto Naskh Arabic"/>
                <w:b/>
                <w:i w:val="0"/>
                <w:color w:val="17365D"/>
                <w:sz w:val="26"/>
                <w:rtl w:val="1"/>
              </w:rPr>
              <w:t>نه کشوری که همسایگان از آن بترسند؛ بلکه کشوری که جهان به آن اعتماد کند.</w:t>
              <w:br/>
              <w:t>نه امپراتوری خاک؛ بلکه امپراتوری خوشنامی، علم، قانون و رفاه.</w:t>
            </w:r>
          </w:p>
        </w:tc>
      </w:tr>
    </w:tbl>
    <w:p>
      <w:pPr>
        <w:spacing w:after="0"/>
        <w:widowControl w:val="1"/>
      </w:pPr>
    </w:p>
    <w:p>
      <w:pPr>
        <w:pStyle w:val="Heading1"/>
        <w:keepNext/>
        <w:keepLines w:val="0"/>
        <w:spacing w:before="200" w:after="100" w:line="252" w:lineRule="auto"/>
        <w:jc w:val="right"/>
        <w:bidi w:val="1"/>
        <w:pBdr>
          <w:bottom w:val="single" w:sz="8" w:space="5" w:color="B8872E"/>
        </w:pBdr>
        <w:widowControl w:val="1"/>
      </w:pPr>
      <w:r>
        <w:rPr>
          <w:rFonts w:ascii="Noto Sans Arabic" w:hAnsi="Noto Sans Arabic" w:eastAsia="Noto Sans Arabic" w:cs="Noto Sans Arabic"/>
          <w:b/>
          <w:i w:val="0"/>
          <w:color w:val="17365D"/>
          <w:sz w:val="32"/>
          <w:rtl w:val="1"/>
        </w:rPr>
        <w:t>منابع و مآخذ</w:t>
      </w:r>
    </w:p>
    <w:p>
      <w:pPr>
        <w:keepNext w:val="0"/>
        <w:keepLines w:val="0"/>
        <w:spacing w:before="0" w:after="120" w:line="300" w:lineRule="auto"/>
        <w:jc w:val="both"/>
        <w:bidi w:val="1"/>
        <w:widowControl w:val="1"/>
      </w:pPr>
      <w:r>
        <w:rPr>
          <w:rFonts w:ascii="Noto Naskh Arabic" w:hAnsi="Noto Naskh Arabic" w:eastAsia="Noto Naskh Arabic" w:cs="Noto Naskh Arabic"/>
          <w:b w:val="0"/>
          <w:i w:val="0"/>
          <w:color w:val="1F2937"/>
          <w:sz w:val="21"/>
          <w:rtl w:val="1"/>
        </w:rPr>
        <w:t>منابع زیر برای تفکیک نظریه، داده، موضع رسمی و سناریوی نویسنده تنظیم شده‌اند. منابع رسمی سیاسی صرفاً بیانگر مواضع اعلامی‌اند و به‌تنهایی اثبات‌کنندهٔ محبوبیت، ظرفیت اجرایی یا تحقق قطعی نتایج نیستند. منابع خبری برای تثبیت خط زمانی و داده‌های جاری و منابع دانشگاهی برای چارچوب تحلیلی به کار رفته‌اند.</w:t>
      </w:r>
    </w:p>
    <w:p>
      <w:pPr>
        <w:spacing w:before="0" w:after="80" w:line="269" w:lineRule="auto"/>
        <w:ind w:left="369" w:hanging="369"/>
        <w:jc w:val="left"/>
        <w:widowControl w:val="1"/>
      </w:pPr>
      <w:r>
        <w:rPr>
          <w:rFonts w:ascii="Liberation Serif" w:hAnsi="Liberation Serif" w:eastAsia="Liberation Serif" w:cs="Liberation Serif"/>
          <w:b w:val="0"/>
          <w:i w:val="0"/>
          <w:color w:val="1F2937"/>
          <w:sz w:val="18"/>
        </w:rPr>
        <w:t>[1] Schumpeter, J. A. (1942). Capitalism, Socialism and Democracy. Harper &amp; Brothers.</w:t>
      </w:r>
    </w:p>
    <w:p>
      <w:pPr>
        <w:spacing w:before="0" w:after="80" w:line="269" w:lineRule="auto"/>
        <w:ind w:left="369" w:hanging="369"/>
        <w:jc w:val="left"/>
        <w:widowControl w:val="1"/>
      </w:pPr>
      <w:r>
        <w:rPr>
          <w:rFonts w:ascii="Liberation Serif" w:hAnsi="Liberation Serif" w:eastAsia="Liberation Serif" w:cs="Liberation Serif"/>
          <w:b w:val="0"/>
          <w:i w:val="0"/>
          <w:color w:val="1F2937"/>
          <w:sz w:val="18"/>
        </w:rPr>
        <w:t>[2] Lewin, K. (1951). Field Theory in Social Science. Harper &amp; Row.</w:t>
      </w:r>
    </w:p>
    <w:p>
      <w:pPr>
        <w:spacing w:before="0" w:after="80" w:line="269" w:lineRule="auto"/>
        <w:ind w:left="369" w:hanging="369"/>
        <w:jc w:val="left"/>
        <w:widowControl w:val="1"/>
      </w:pPr>
      <w:r>
        <w:rPr>
          <w:rFonts w:ascii="Liberation Serif" w:hAnsi="Liberation Serif" w:eastAsia="Liberation Serif" w:cs="Liberation Serif"/>
          <w:b w:val="0"/>
          <w:i w:val="0"/>
          <w:color w:val="1F2937"/>
          <w:sz w:val="18"/>
        </w:rPr>
        <w:t>[3] Aguilar, F. J. (1967). Scanning the Business Environment. Macmillan.</w:t>
      </w:r>
    </w:p>
    <w:p>
      <w:pPr>
        <w:spacing w:before="0" w:after="80" w:line="269" w:lineRule="auto"/>
        <w:ind w:left="369" w:hanging="369"/>
        <w:jc w:val="left"/>
        <w:widowControl w:val="1"/>
      </w:pPr>
      <w:r>
        <w:rPr>
          <w:rFonts w:ascii="Liberation Serif" w:hAnsi="Liberation Serif" w:eastAsia="Liberation Serif" w:cs="Liberation Serif"/>
          <w:b w:val="0"/>
          <w:i w:val="0"/>
          <w:color w:val="1F2937"/>
          <w:sz w:val="18"/>
        </w:rPr>
        <w:t>[4] O'Donnell, G., &amp; Schmitter, P. C. (1986). Transitions from Authoritarian Rule: Tentative Conclusions about Uncertain Democracies. Johns Hopkins University Press.</w:t>
      </w:r>
    </w:p>
    <w:p>
      <w:pPr>
        <w:spacing w:before="0" w:after="80" w:line="269" w:lineRule="auto"/>
        <w:ind w:left="369" w:hanging="369"/>
        <w:jc w:val="left"/>
        <w:widowControl w:val="1"/>
      </w:pPr>
      <w:r>
        <w:rPr>
          <w:rFonts w:ascii="Liberation Serif" w:hAnsi="Liberation Serif" w:eastAsia="Liberation Serif" w:cs="Liberation Serif"/>
          <w:b w:val="0"/>
          <w:i w:val="0"/>
          <w:color w:val="1F2937"/>
          <w:sz w:val="18"/>
        </w:rPr>
        <w:t>[5] North, D. C., Wallis, J. J., &amp; Weingast, B. R. (2009). Violence and Social Orders. Cambridge University Press.</w:t>
      </w:r>
      <w:r>
        <w:rPr>
          <w:rFonts w:ascii="Liberation Serif" w:hAnsi="Liberation Serif" w:eastAsia="Liberation Serif" w:cs="Liberation Serif"/>
          <w:b w:val="0"/>
          <w:i w:val="0"/>
          <w:color w:val="1F2937"/>
          <w:sz w:val="18"/>
        </w:rPr>
        <w:t xml:space="preserve">  </w:t>
      </w:r>
      <w:hyperlink r:id="rId23">
        <w:r>
          <w:rPr>
            <w:rFonts w:ascii="Liberation Serif" w:hAnsi="Liberation Serif" w:eastAsia="Liberation Serif" w:cs="Liberation Serif"/>
            <w:color w:val="0563C1"/>
            <w:u w:val="single"/>
            <w:sz w:val="18"/>
          </w:rPr>
          <w:t>Link</w:t>
        </w:r>
      </w:hyperlink>
    </w:p>
    <w:p>
      <w:pPr>
        <w:spacing w:before="0" w:after="80" w:line="269" w:lineRule="auto"/>
        <w:ind w:left="369" w:hanging="369"/>
        <w:jc w:val="left"/>
        <w:widowControl w:val="1"/>
      </w:pPr>
      <w:r>
        <w:rPr>
          <w:rFonts w:ascii="Liberation Serif" w:hAnsi="Liberation Serif" w:eastAsia="Liberation Serif" w:cs="Liberation Serif"/>
          <w:b w:val="0"/>
          <w:i w:val="0"/>
          <w:color w:val="1F2937"/>
          <w:sz w:val="18"/>
        </w:rPr>
        <w:t>[6] Chenoweth, E., &amp; Stephan, M. J. (2011). Why Civil Resistance Works. Columbia University Press.</w:t>
      </w:r>
      <w:r>
        <w:rPr>
          <w:rFonts w:ascii="Liberation Serif" w:hAnsi="Liberation Serif" w:eastAsia="Liberation Serif" w:cs="Liberation Serif"/>
          <w:b w:val="0"/>
          <w:i w:val="0"/>
          <w:color w:val="1F2937"/>
          <w:sz w:val="18"/>
        </w:rPr>
        <w:t xml:space="preserve">  </w:t>
      </w:r>
      <w:hyperlink r:id="rId24">
        <w:r>
          <w:rPr>
            <w:rFonts w:ascii="Liberation Serif" w:hAnsi="Liberation Serif" w:eastAsia="Liberation Serif" w:cs="Liberation Serif"/>
            <w:color w:val="0563C1"/>
            <w:u w:val="single"/>
            <w:sz w:val="18"/>
          </w:rPr>
          <w:t>Link</w:t>
        </w:r>
      </w:hyperlink>
    </w:p>
    <w:p>
      <w:pPr>
        <w:spacing w:before="0" w:after="80" w:line="269" w:lineRule="auto"/>
        <w:ind w:left="369" w:hanging="369"/>
        <w:jc w:val="left"/>
        <w:widowControl w:val="1"/>
      </w:pPr>
      <w:r>
        <w:rPr>
          <w:rFonts w:ascii="Liberation Serif" w:hAnsi="Liberation Serif" w:eastAsia="Liberation Serif" w:cs="Liberation Serif"/>
          <w:b w:val="0"/>
          <w:i w:val="0"/>
          <w:color w:val="1F2937"/>
          <w:sz w:val="18"/>
        </w:rPr>
        <w:t>[7] Downes, A. B., &amp; Monten, J. (2013). Forced to Be Free? Why Foreign-Imposed Regime Change Rarely Leads to Democratization. International Security, 37(4), 90–131.</w:t>
      </w:r>
      <w:r>
        <w:rPr>
          <w:rFonts w:ascii="Liberation Serif" w:hAnsi="Liberation Serif" w:eastAsia="Liberation Serif" w:cs="Liberation Serif"/>
          <w:b w:val="0"/>
          <w:i w:val="0"/>
          <w:color w:val="1F2937"/>
          <w:sz w:val="18"/>
        </w:rPr>
        <w:t xml:space="preserve">  </w:t>
      </w:r>
      <w:hyperlink r:id="rId25">
        <w:r>
          <w:rPr>
            <w:rFonts w:ascii="Liberation Serif" w:hAnsi="Liberation Serif" w:eastAsia="Liberation Serif" w:cs="Liberation Serif"/>
            <w:color w:val="0563C1"/>
            <w:u w:val="single"/>
            <w:sz w:val="18"/>
          </w:rPr>
          <w:t>Link</w:t>
        </w:r>
      </w:hyperlink>
    </w:p>
    <w:p>
      <w:pPr>
        <w:spacing w:before="0" w:after="80" w:line="269" w:lineRule="auto"/>
        <w:ind w:left="369" w:hanging="369"/>
        <w:jc w:val="left"/>
        <w:widowControl w:val="1"/>
      </w:pPr>
      <w:r>
        <w:rPr>
          <w:rFonts w:ascii="Liberation Serif" w:hAnsi="Liberation Serif" w:eastAsia="Liberation Serif" w:cs="Liberation Serif"/>
          <w:b w:val="0"/>
          <w:i w:val="0"/>
          <w:color w:val="1F2937"/>
          <w:sz w:val="18"/>
        </w:rPr>
        <w:t>[8] Geddes, B., Wright, J., &amp; Frantz, E. (2018). How Dictatorships Work. Cambridge University Press.</w:t>
      </w:r>
      <w:r>
        <w:rPr>
          <w:rFonts w:ascii="Liberation Serif" w:hAnsi="Liberation Serif" w:eastAsia="Liberation Serif" w:cs="Liberation Serif"/>
          <w:b w:val="0"/>
          <w:i w:val="0"/>
          <w:color w:val="1F2937"/>
          <w:sz w:val="18"/>
        </w:rPr>
        <w:t xml:space="preserve">  </w:t>
      </w:r>
      <w:hyperlink r:id="rId26">
        <w:r>
          <w:rPr>
            <w:rFonts w:ascii="Liberation Serif" w:hAnsi="Liberation Serif" w:eastAsia="Liberation Serif" w:cs="Liberation Serif"/>
            <w:color w:val="0563C1"/>
            <w:u w:val="single"/>
            <w:sz w:val="18"/>
          </w:rPr>
          <w:t>Link</w:t>
        </w:r>
      </w:hyperlink>
    </w:p>
    <w:p>
      <w:pPr>
        <w:spacing w:before="0" w:after="80" w:line="269" w:lineRule="auto"/>
        <w:ind w:left="369" w:hanging="369"/>
        <w:jc w:val="left"/>
        <w:widowControl w:val="1"/>
      </w:pPr>
      <w:r>
        <w:rPr>
          <w:rFonts w:ascii="Liberation Serif" w:hAnsi="Liberation Serif" w:eastAsia="Liberation Serif" w:cs="Liberation Serif"/>
          <w:b w:val="0"/>
          <w:i w:val="0"/>
          <w:color w:val="1F2937"/>
          <w:sz w:val="18"/>
        </w:rPr>
        <w:t>[9] World Bank. Iran, Islamic Republic: Country Overview and Development Data.</w:t>
      </w:r>
      <w:r>
        <w:rPr>
          <w:rFonts w:ascii="Liberation Serif" w:hAnsi="Liberation Serif" w:eastAsia="Liberation Serif" w:cs="Liberation Serif"/>
          <w:b w:val="0"/>
          <w:i w:val="0"/>
          <w:color w:val="1F2937"/>
          <w:sz w:val="18"/>
        </w:rPr>
        <w:t xml:space="preserve">  </w:t>
      </w:r>
      <w:hyperlink r:id="rId27">
        <w:r>
          <w:rPr>
            <w:rFonts w:ascii="Liberation Serif" w:hAnsi="Liberation Serif" w:eastAsia="Liberation Serif" w:cs="Liberation Serif"/>
            <w:color w:val="0563C1"/>
            <w:u w:val="single"/>
            <w:sz w:val="18"/>
          </w:rPr>
          <w:t>Link</w:t>
        </w:r>
      </w:hyperlink>
    </w:p>
    <w:p>
      <w:pPr>
        <w:spacing w:before="0" w:after="80" w:line="269" w:lineRule="auto"/>
        <w:ind w:left="369" w:hanging="369"/>
        <w:jc w:val="left"/>
        <w:widowControl w:val="1"/>
      </w:pPr>
      <w:r>
        <w:rPr>
          <w:rFonts w:ascii="Liberation Serif" w:hAnsi="Liberation Serif" w:eastAsia="Liberation Serif" w:cs="Liberation Serif"/>
          <w:b w:val="0"/>
          <w:i w:val="0"/>
          <w:color w:val="1F2937"/>
          <w:sz w:val="18"/>
        </w:rPr>
        <w:t>[10] World Bank. GDP per capita (constant 2015 US$) – Iran, Islamic Rep.</w:t>
      </w:r>
      <w:r>
        <w:rPr>
          <w:rFonts w:ascii="Liberation Serif" w:hAnsi="Liberation Serif" w:eastAsia="Liberation Serif" w:cs="Liberation Serif"/>
          <w:b w:val="0"/>
          <w:i w:val="0"/>
          <w:color w:val="1F2937"/>
          <w:sz w:val="18"/>
        </w:rPr>
        <w:t xml:space="preserve">  </w:t>
      </w:r>
      <w:hyperlink r:id="rId28">
        <w:r>
          <w:rPr>
            <w:rFonts w:ascii="Liberation Serif" w:hAnsi="Liberation Serif" w:eastAsia="Liberation Serif" w:cs="Liberation Serif"/>
            <w:color w:val="0563C1"/>
            <w:u w:val="single"/>
            <w:sz w:val="18"/>
          </w:rPr>
          <w:t>Link</w:t>
        </w:r>
      </w:hyperlink>
    </w:p>
    <w:p>
      <w:pPr>
        <w:spacing w:before="0" w:after="80" w:line="269" w:lineRule="auto"/>
        <w:ind w:left="369" w:hanging="369"/>
        <w:jc w:val="left"/>
        <w:widowControl w:val="1"/>
      </w:pPr>
      <w:r>
        <w:rPr>
          <w:rFonts w:ascii="Liberation Serif" w:hAnsi="Liberation Serif" w:eastAsia="Liberation Serif" w:cs="Liberation Serif"/>
          <w:b w:val="0"/>
          <w:i w:val="0"/>
          <w:color w:val="1F2937"/>
          <w:sz w:val="18"/>
        </w:rPr>
        <w:t>[11] World Bank Gender Data Portal. Iran, Islamic Rep.: Labour force participation and gender indicators.</w:t>
      </w:r>
      <w:r>
        <w:rPr>
          <w:rFonts w:ascii="Liberation Serif" w:hAnsi="Liberation Serif" w:eastAsia="Liberation Serif" w:cs="Liberation Serif"/>
          <w:b w:val="0"/>
          <w:i w:val="0"/>
          <w:color w:val="1F2937"/>
          <w:sz w:val="18"/>
        </w:rPr>
        <w:t xml:space="preserve">  </w:t>
      </w:r>
      <w:hyperlink r:id="rId29">
        <w:r>
          <w:rPr>
            <w:rFonts w:ascii="Liberation Serif" w:hAnsi="Liberation Serif" w:eastAsia="Liberation Serif" w:cs="Liberation Serif"/>
            <w:color w:val="0563C1"/>
            <w:u w:val="single"/>
            <w:sz w:val="18"/>
          </w:rPr>
          <w:t>Link</w:t>
        </w:r>
      </w:hyperlink>
    </w:p>
    <w:p>
      <w:pPr>
        <w:spacing w:before="0" w:after="80" w:line="269" w:lineRule="auto"/>
        <w:ind w:left="369" w:hanging="369"/>
        <w:jc w:val="left"/>
        <w:widowControl w:val="1"/>
      </w:pPr>
      <w:r>
        <w:rPr>
          <w:rFonts w:ascii="Liberation Serif" w:hAnsi="Liberation Serif" w:eastAsia="Liberation Serif" w:cs="Liberation Serif"/>
          <w:b w:val="0"/>
          <w:i w:val="0"/>
          <w:color w:val="1F2937"/>
          <w:sz w:val="18"/>
        </w:rPr>
        <w:t>[12] International Monetary Fund. World Economic Outlook Database, July 2026.</w:t>
      </w:r>
      <w:r>
        <w:rPr>
          <w:rFonts w:ascii="Liberation Serif" w:hAnsi="Liberation Serif" w:eastAsia="Liberation Serif" w:cs="Liberation Serif"/>
          <w:b w:val="0"/>
          <w:i w:val="0"/>
          <w:color w:val="1F2937"/>
          <w:sz w:val="18"/>
        </w:rPr>
        <w:t xml:space="preserve">  </w:t>
      </w:r>
      <w:hyperlink r:id="rId30">
        <w:r>
          <w:rPr>
            <w:rFonts w:ascii="Liberation Serif" w:hAnsi="Liberation Serif" w:eastAsia="Liberation Serif" w:cs="Liberation Serif"/>
            <w:color w:val="0563C1"/>
            <w:u w:val="single"/>
            <w:sz w:val="18"/>
          </w:rPr>
          <w:t>Link</w:t>
        </w:r>
      </w:hyperlink>
    </w:p>
    <w:p>
      <w:pPr>
        <w:spacing w:before="0" w:after="80" w:line="269" w:lineRule="auto"/>
        <w:ind w:left="369" w:hanging="369"/>
        <w:jc w:val="left"/>
        <w:widowControl w:val="1"/>
      </w:pPr>
      <w:r>
        <w:rPr>
          <w:rFonts w:ascii="Liberation Serif" w:hAnsi="Liberation Serif" w:eastAsia="Liberation Serif" w:cs="Liberation Serif"/>
          <w:b w:val="0"/>
          <w:i w:val="0"/>
          <w:color w:val="1F2937"/>
          <w:sz w:val="18"/>
        </w:rPr>
        <w:t>[13] International Monetary Fund. IMF Conditionality – Factsheet.</w:t>
      </w:r>
      <w:r>
        <w:rPr>
          <w:rFonts w:ascii="Liberation Serif" w:hAnsi="Liberation Serif" w:eastAsia="Liberation Serif" w:cs="Liberation Serif"/>
          <w:b w:val="0"/>
          <w:i w:val="0"/>
          <w:color w:val="1F2937"/>
          <w:sz w:val="18"/>
        </w:rPr>
        <w:t xml:space="preserve">  </w:t>
      </w:r>
      <w:hyperlink r:id="rId31">
        <w:r>
          <w:rPr>
            <w:rFonts w:ascii="Liberation Serif" w:hAnsi="Liberation Serif" w:eastAsia="Liberation Serif" w:cs="Liberation Serif"/>
            <w:color w:val="0563C1"/>
            <w:u w:val="single"/>
            <w:sz w:val="18"/>
          </w:rPr>
          <w:t>Link</w:t>
        </w:r>
      </w:hyperlink>
    </w:p>
    <w:p>
      <w:pPr>
        <w:spacing w:before="0" w:after="80" w:line="269" w:lineRule="auto"/>
        <w:ind w:left="369" w:hanging="369"/>
        <w:jc w:val="left"/>
        <w:widowControl w:val="1"/>
      </w:pPr>
      <w:r>
        <w:rPr>
          <w:rFonts w:ascii="Liberation Serif" w:hAnsi="Liberation Serif" w:eastAsia="Liberation Serif" w:cs="Liberation Serif"/>
          <w:b w:val="0"/>
          <w:i w:val="0"/>
          <w:color w:val="1F2937"/>
          <w:sz w:val="18"/>
        </w:rPr>
        <w:t>[14] World Bank Group. Annual Report and IBRD financing framework.</w:t>
      </w:r>
      <w:r>
        <w:rPr>
          <w:rFonts w:ascii="Liberation Serif" w:hAnsi="Liberation Serif" w:eastAsia="Liberation Serif" w:cs="Liberation Serif"/>
          <w:b w:val="0"/>
          <w:i w:val="0"/>
          <w:color w:val="1F2937"/>
          <w:sz w:val="18"/>
        </w:rPr>
        <w:t xml:space="preserve">  </w:t>
      </w:r>
      <w:hyperlink r:id="rId32">
        <w:r>
          <w:rPr>
            <w:rFonts w:ascii="Liberation Serif" w:hAnsi="Liberation Serif" w:eastAsia="Liberation Serif" w:cs="Liberation Serif"/>
            <w:color w:val="0563C1"/>
            <w:u w:val="single"/>
            <w:sz w:val="18"/>
          </w:rPr>
          <w:t>Link</w:t>
        </w:r>
      </w:hyperlink>
    </w:p>
    <w:p>
      <w:pPr>
        <w:spacing w:before="0" w:after="80" w:line="269" w:lineRule="auto"/>
        <w:ind w:left="369" w:hanging="369"/>
        <w:jc w:val="left"/>
        <w:widowControl w:val="1"/>
      </w:pPr>
      <w:r>
        <w:rPr>
          <w:rFonts w:ascii="Liberation Serif" w:hAnsi="Liberation Serif" w:eastAsia="Liberation Serif" w:cs="Liberation Serif"/>
          <w:b w:val="0"/>
          <w:i w:val="0"/>
          <w:color w:val="1F2937"/>
          <w:sz w:val="18"/>
        </w:rPr>
        <w:t>[15] Multilateral Investment Guarantee Agency (MIGA). Political Risk Insurance: War and Civil Disturbance.</w:t>
      </w:r>
      <w:r>
        <w:rPr>
          <w:rFonts w:ascii="Liberation Serif" w:hAnsi="Liberation Serif" w:eastAsia="Liberation Serif" w:cs="Liberation Serif"/>
          <w:b w:val="0"/>
          <w:i w:val="0"/>
          <w:color w:val="1F2937"/>
          <w:sz w:val="18"/>
        </w:rPr>
        <w:t xml:space="preserve">  </w:t>
      </w:r>
      <w:hyperlink r:id="rId33">
        <w:r>
          <w:rPr>
            <w:rFonts w:ascii="Liberation Serif" w:hAnsi="Liberation Serif" w:eastAsia="Liberation Serif" w:cs="Liberation Serif"/>
            <w:color w:val="0563C1"/>
            <w:u w:val="single"/>
            <w:sz w:val="18"/>
          </w:rPr>
          <w:t>Link</w:t>
        </w:r>
      </w:hyperlink>
    </w:p>
    <w:p>
      <w:pPr>
        <w:spacing w:before="0" w:after="80" w:line="269" w:lineRule="auto"/>
        <w:ind w:left="369" w:hanging="369"/>
        <w:jc w:val="left"/>
        <w:widowControl w:val="1"/>
      </w:pPr>
      <w:r>
        <w:rPr>
          <w:rFonts w:ascii="Liberation Serif" w:hAnsi="Liberation Serif" w:eastAsia="Liberation Serif" w:cs="Liberation Serif"/>
          <w:b w:val="0"/>
          <w:i w:val="0"/>
          <w:color w:val="1F2937"/>
          <w:sz w:val="18"/>
        </w:rPr>
        <w:t>[16] Maddison Project Database 2023. Historical GDP and GDP per capita series.</w:t>
      </w:r>
      <w:r>
        <w:rPr>
          <w:rFonts w:ascii="Liberation Serif" w:hAnsi="Liberation Serif" w:eastAsia="Liberation Serif" w:cs="Liberation Serif"/>
          <w:b w:val="0"/>
          <w:i w:val="0"/>
          <w:color w:val="1F2937"/>
          <w:sz w:val="18"/>
        </w:rPr>
        <w:t xml:space="preserve">  </w:t>
      </w:r>
      <w:hyperlink r:id="rId34">
        <w:r>
          <w:rPr>
            <w:rFonts w:ascii="Liberation Serif" w:hAnsi="Liberation Serif" w:eastAsia="Liberation Serif" w:cs="Liberation Serif"/>
            <w:color w:val="0563C1"/>
            <w:u w:val="single"/>
            <w:sz w:val="18"/>
          </w:rPr>
          <w:t>Link</w:t>
        </w:r>
      </w:hyperlink>
    </w:p>
    <w:p>
      <w:pPr>
        <w:spacing w:before="0" w:after="80" w:line="269" w:lineRule="auto"/>
        <w:ind w:left="369" w:hanging="369"/>
        <w:jc w:val="left"/>
        <w:widowControl w:val="1"/>
      </w:pPr>
      <w:r>
        <w:rPr>
          <w:rFonts w:ascii="Liberation Serif" w:hAnsi="Liberation Serif" w:eastAsia="Liberation Serif" w:cs="Liberation Serif"/>
          <w:b w:val="0"/>
          <w:i w:val="0"/>
          <w:color w:val="1F2937"/>
          <w:sz w:val="18"/>
        </w:rPr>
        <w:t>[17] GAMAAN. (2024). Political Preferences of Iranians.</w:t>
      </w:r>
      <w:r>
        <w:rPr>
          <w:rFonts w:ascii="Liberation Serif" w:hAnsi="Liberation Serif" w:eastAsia="Liberation Serif" w:cs="Liberation Serif"/>
          <w:b w:val="0"/>
          <w:i w:val="0"/>
          <w:color w:val="1F2937"/>
          <w:sz w:val="18"/>
        </w:rPr>
        <w:t xml:space="preserve">  </w:t>
      </w:r>
      <w:hyperlink r:id="rId35">
        <w:r>
          <w:rPr>
            <w:rFonts w:ascii="Liberation Serif" w:hAnsi="Liberation Serif" w:eastAsia="Liberation Serif" w:cs="Liberation Serif"/>
            <w:color w:val="0563C1"/>
            <w:u w:val="single"/>
            <w:sz w:val="18"/>
          </w:rPr>
          <w:t>Link</w:t>
        </w:r>
      </w:hyperlink>
    </w:p>
    <w:p>
      <w:pPr>
        <w:spacing w:before="0" w:after="80" w:line="269" w:lineRule="auto"/>
        <w:ind w:left="369" w:hanging="369"/>
        <w:jc w:val="left"/>
        <w:widowControl w:val="1"/>
      </w:pPr>
      <w:r>
        <w:rPr>
          <w:rFonts w:ascii="Liberation Serif" w:hAnsi="Liberation Serif" w:eastAsia="Liberation Serif" w:cs="Liberation Serif"/>
          <w:b w:val="0"/>
          <w:i w:val="0"/>
          <w:color w:val="1F2937"/>
          <w:sz w:val="18"/>
        </w:rPr>
        <w:t>[18] GAMAAN. (2026). Iranians’ Attitudes Toward the 2026 Protests and War.</w:t>
      </w:r>
      <w:r>
        <w:rPr>
          <w:rFonts w:ascii="Liberation Serif" w:hAnsi="Liberation Serif" w:eastAsia="Liberation Serif" w:cs="Liberation Serif"/>
          <w:b w:val="0"/>
          <w:i w:val="0"/>
          <w:color w:val="1F2937"/>
          <w:sz w:val="18"/>
        </w:rPr>
        <w:t xml:space="preserve">  </w:t>
      </w:r>
      <w:hyperlink r:id="rId36">
        <w:r>
          <w:rPr>
            <w:rFonts w:ascii="Liberation Serif" w:hAnsi="Liberation Serif" w:eastAsia="Liberation Serif" w:cs="Liberation Serif"/>
            <w:color w:val="0563C1"/>
            <w:u w:val="single"/>
            <w:sz w:val="18"/>
          </w:rPr>
          <w:t>Link</w:t>
        </w:r>
      </w:hyperlink>
    </w:p>
    <w:p>
      <w:pPr>
        <w:spacing w:before="0" w:after="80" w:line="269" w:lineRule="auto"/>
        <w:ind w:left="369" w:hanging="369"/>
        <w:jc w:val="left"/>
        <w:widowControl w:val="1"/>
      </w:pPr>
      <w:r>
        <w:rPr>
          <w:rFonts w:ascii="Liberation Serif" w:hAnsi="Liberation Serif" w:eastAsia="Liberation Serif" w:cs="Liberation Serif"/>
          <w:b w:val="0"/>
          <w:i w:val="0"/>
          <w:color w:val="1F2937"/>
          <w:sz w:val="18"/>
        </w:rPr>
        <w:t>[19] Reuters. (2026, July 27). Regime change: Inside Reza Pahlavi’s faltering bid to lead Iran.</w:t>
      </w:r>
      <w:r>
        <w:rPr>
          <w:rFonts w:ascii="Liberation Serif" w:hAnsi="Liberation Serif" w:eastAsia="Liberation Serif" w:cs="Liberation Serif"/>
          <w:b w:val="0"/>
          <w:i w:val="0"/>
          <w:color w:val="1F2937"/>
          <w:sz w:val="18"/>
        </w:rPr>
        <w:t xml:space="preserve">  </w:t>
      </w:r>
      <w:hyperlink r:id="rId37">
        <w:r>
          <w:rPr>
            <w:rFonts w:ascii="Liberation Serif" w:hAnsi="Liberation Serif" w:eastAsia="Liberation Serif" w:cs="Liberation Serif"/>
            <w:color w:val="0563C1"/>
            <w:u w:val="single"/>
            <w:sz w:val="18"/>
          </w:rPr>
          <w:t>Link</w:t>
        </w:r>
      </w:hyperlink>
    </w:p>
    <w:p>
      <w:pPr>
        <w:spacing w:before="0" w:after="80" w:line="269" w:lineRule="auto"/>
        <w:ind w:left="369" w:hanging="369"/>
        <w:jc w:val="left"/>
        <w:widowControl w:val="1"/>
      </w:pPr>
      <w:r>
        <w:rPr>
          <w:rFonts w:ascii="Liberation Serif" w:hAnsi="Liberation Serif" w:eastAsia="Liberation Serif" w:cs="Liberation Serif"/>
          <w:b w:val="0"/>
          <w:i w:val="0"/>
          <w:color w:val="1F2937"/>
          <w:sz w:val="18"/>
        </w:rPr>
        <w:t>[20] Reuters. (2026, August 30). U.S. forces strike Iranian launchers on Larak Island.</w:t>
      </w:r>
      <w:r>
        <w:rPr>
          <w:rFonts w:ascii="Liberation Serif" w:hAnsi="Liberation Serif" w:eastAsia="Liberation Serif" w:cs="Liberation Serif"/>
          <w:b w:val="0"/>
          <w:i w:val="0"/>
          <w:color w:val="1F2937"/>
          <w:sz w:val="18"/>
        </w:rPr>
        <w:t xml:space="preserve">  </w:t>
      </w:r>
      <w:hyperlink r:id="rId38">
        <w:r>
          <w:rPr>
            <w:rFonts w:ascii="Liberation Serif" w:hAnsi="Liberation Serif" w:eastAsia="Liberation Serif" w:cs="Liberation Serif"/>
            <w:color w:val="0563C1"/>
            <w:u w:val="single"/>
            <w:sz w:val="18"/>
          </w:rPr>
          <w:t>Link</w:t>
        </w:r>
      </w:hyperlink>
    </w:p>
    <w:p>
      <w:pPr>
        <w:spacing w:before="0" w:after="80" w:line="269" w:lineRule="auto"/>
        <w:ind w:left="369" w:hanging="369"/>
        <w:jc w:val="left"/>
        <w:widowControl w:val="1"/>
      </w:pPr>
      <w:r>
        <w:rPr>
          <w:rFonts w:ascii="Liberation Serif" w:hAnsi="Liberation Serif" w:eastAsia="Liberation Serif" w:cs="Liberation Serif"/>
          <w:b w:val="0"/>
          <w:i w:val="0"/>
          <w:color w:val="1F2937"/>
          <w:sz w:val="18"/>
        </w:rPr>
        <w:t>[21] Reuters. (2026, August 31). Gulf markets and security concerns amid U.S.–Iran escalation.</w:t>
      </w:r>
      <w:r>
        <w:rPr>
          <w:rFonts w:ascii="Liberation Serif" w:hAnsi="Liberation Serif" w:eastAsia="Liberation Serif" w:cs="Liberation Serif"/>
          <w:b w:val="0"/>
          <w:i w:val="0"/>
          <w:color w:val="1F2937"/>
          <w:sz w:val="18"/>
        </w:rPr>
        <w:t xml:space="preserve">  </w:t>
      </w:r>
      <w:hyperlink r:id="rId39">
        <w:r>
          <w:rPr>
            <w:rFonts w:ascii="Liberation Serif" w:hAnsi="Liberation Serif" w:eastAsia="Liberation Serif" w:cs="Liberation Serif"/>
            <w:color w:val="0563C1"/>
            <w:u w:val="single"/>
            <w:sz w:val="18"/>
          </w:rPr>
          <w:t>Link</w:t>
        </w:r>
      </w:hyperlink>
    </w:p>
    <w:p>
      <w:pPr>
        <w:spacing w:before="0" w:after="80" w:line="269" w:lineRule="auto"/>
        <w:ind w:left="369" w:hanging="369"/>
        <w:jc w:val="left"/>
        <w:widowControl w:val="1"/>
      </w:pPr>
      <w:r>
        <w:rPr>
          <w:rFonts w:ascii="Liberation Serif" w:hAnsi="Liberation Serif" w:eastAsia="Liberation Serif" w:cs="Liberation Serif"/>
          <w:b w:val="0"/>
          <w:i w:val="0"/>
          <w:color w:val="1F2937"/>
          <w:sz w:val="18"/>
        </w:rPr>
        <w:t>[22] United Nations Population Fund, Iran. Population Ageing and Demographic Transition.</w:t>
      </w:r>
      <w:r>
        <w:rPr>
          <w:rFonts w:ascii="Liberation Serif" w:hAnsi="Liberation Serif" w:eastAsia="Liberation Serif" w:cs="Liberation Serif"/>
          <w:b w:val="0"/>
          <w:i w:val="0"/>
          <w:color w:val="1F2937"/>
          <w:sz w:val="18"/>
        </w:rPr>
        <w:t xml:space="preserve">  </w:t>
      </w:r>
      <w:hyperlink r:id="rId40">
        <w:r>
          <w:rPr>
            <w:rFonts w:ascii="Liberation Serif" w:hAnsi="Liberation Serif" w:eastAsia="Liberation Serif" w:cs="Liberation Serif"/>
            <w:color w:val="0563C1"/>
            <w:u w:val="single"/>
            <w:sz w:val="18"/>
          </w:rPr>
          <w:t>Link</w:t>
        </w:r>
      </w:hyperlink>
    </w:p>
    <w:p>
      <w:pPr>
        <w:spacing w:before="0" w:after="80" w:line="269" w:lineRule="auto"/>
        <w:ind w:left="369" w:hanging="369"/>
        <w:jc w:val="left"/>
        <w:widowControl w:val="1"/>
      </w:pPr>
      <w:r>
        <w:rPr>
          <w:rFonts w:ascii="Liberation Serif" w:hAnsi="Liberation Serif" w:eastAsia="Liberation Serif" w:cs="Liberation Serif"/>
          <w:b w:val="0"/>
          <w:i w:val="0"/>
          <w:color w:val="1F2937"/>
          <w:sz w:val="18"/>
        </w:rPr>
        <w:t>[23] Chartered Institute of Personnel and Development. PESTLE Analysis Factsheet.</w:t>
      </w:r>
      <w:r>
        <w:rPr>
          <w:rFonts w:ascii="Liberation Serif" w:hAnsi="Liberation Serif" w:eastAsia="Liberation Serif" w:cs="Liberation Serif"/>
          <w:b w:val="0"/>
          <w:i w:val="0"/>
          <w:color w:val="1F2937"/>
          <w:sz w:val="18"/>
        </w:rPr>
        <w:t xml:space="preserve">  </w:t>
      </w:r>
      <w:hyperlink r:id="rId41">
        <w:r>
          <w:rPr>
            <w:rFonts w:ascii="Liberation Serif" w:hAnsi="Liberation Serif" w:eastAsia="Liberation Serif" w:cs="Liberation Serif"/>
            <w:color w:val="0563C1"/>
            <w:u w:val="single"/>
            <w:sz w:val="18"/>
          </w:rPr>
          <w:t>Link</w:t>
        </w:r>
      </w:hyperlink>
    </w:p>
    <w:p>
      <w:pPr>
        <w:spacing w:before="0" w:after="80" w:line="269" w:lineRule="auto"/>
        <w:ind w:left="369" w:hanging="369"/>
        <w:jc w:val="left"/>
        <w:widowControl w:val="1"/>
      </w:pPr>
      <w:r>
        <w:rPr>
          <w:rFonts w:ascii="Liberation Serif" w:hAnsi="Liberation Serif" w:eastAsia="Liberation Serif" w:cs="Liberation Serif"/>
          <w:b w:val="0"/>
          <w:i w:val="0"/>
          <w:color w:val="1F2937"/>
          <w:sz w:val="18"/>
        </w:rPr>
        <w:t>[24] University of Cambridge, Institute for Manufacturing. Force Field Analysis.</w:t>
      </w:r>
      <w:r>
        <w:rPr>
          <w:rFonts w:ascii="Liberation Serif" w:hAnsi="Liberation Serif" w:eastAsia="Liberation Serif" w:cs="Liberation Serif"/>
          <w:b w:val="0"/>
          <w:i w:val="0"/>
          <w:color w:val="1F2937"/>
          <w:sz w:val="18"/>
        </w:rPr>
        <w:t xml:space="preserve">  </w:t>
      </w:r>
      <w:hyperlink r:id="rId42">
        <w:r>
          <w:rPr>
            <w:rFonts w:ascii="Liberation Serif" w:hAnsi="Liberation Serif" w:eastAsia="Liberation Serif" w:cs="Liberation Serif"/>
            <w:color w:val="0563C1"/>
            <w:u w:val="single"/>
            <w:sz w:val="18"/>
          </w:rPr>
          <w:t>Link</w:t>
        </w:r>
      </w:hyperlink>
    </w:p>
    <w:p>
      <w:pPr>
        <w:spacing w:before="0" w:after="80" w:line="269" w:lineRule="auto"/>
        <w:ind w:left="369" w:hanging="369"/>
        <w:jc w:val="left"/>
        <w:widowControl w:val="1"/>
      </w:pPr>
      <w:r>
        <w:rPr>
          <w:rFonts w:ascii="Liberation Serif" w:hAnsi="Liberation Serif" w:eastAsia="Liberation Serif" w:cs="Liberation Serif"/>
          <w:b w:val="0"/>
          <w:i w:val="0"/>
          <w:color w:val="1F2937"/>
          <w:sz w:val="18"/>
        </w:rPr>
        <w:t>[25] U.S. Energy Information Administration. The Strait of Hormuz and Iran energy overview.</w:t>
      </w:r>
      <w:r>
        <w:rPr>
          <w:rFonts w:ascii="Liberation Serif" w:hAnsi="Liberation Serif" w:eastAsia="Liberation Serif" w:cs="Liberation Serif"/>
          <w:b w:val="0"/>
          <w:i w:val="0"/>
          <w:color w:val="1F2937"/>
          <w:sz w:val="18"/>
        </w:rPr>
        <w:t xml:space="preserve">  </w:t>
      </w:r>
      <w:hyperlink r:id="rId43">
        <w:r>
          <w:rPr>
            <w:rFonts w:ascii="Liberation Serif" w:hAnsi="Liberation Serif" w:eastAsia="Liberation Serif" w:cs="Liberation Serif"/>
            <w:color w:val="0563C1"/>
            <w:u w:val="single"/>
            <w:sz w:val="18"/>
          </w:rPr>
          <w:t>Link</w:t>
        </w:r>
      </w:hyperlink>
    </w:p>
    <w:p>
      <w:pPr>
        <w:spacing w:before="0" w:after="80" w:line="269" w:lineRule="auto"/>
        <w:ind w:left="369" w:hanging="369"/>
        <w:jc w:val="left"/>
        <w:widowControl w:val="1"/>
      </w:pPr>
      <w:r>
        <w:rPr>
          <w:rFonts w:ascii="Liberation Serif" w:hAnsi="Liberation Serif" w:eastAsia="Liberation Serif" w:cs="Liberation Serif"/>
          <w:b w:val="0"/>
          <w:i w:val="0"/>
          <w:color w:val="1F2937"/>
          <w:sz w:val="18"/>
        </w:rPr>
        <w:t>[26] Reza Pahlavi. (2026, July 6). Address to the Dutch House Foreign Affairs Committee: principles for Iran’s transition.</w:t>
      </w:r>
      <w:r>
        <w:rPr>
          <w:rFonts w:ascii="Liberation Serif" w:hAnsi="Liberation Serif" w:eastAsia="Liberation Serif" w:cs="Liberation Serif"/>
          <w:b w:val="0"/>
          <w:i w:val="0"/>
          <w:color w:val="1F2937"/>
          <w:sz w:val="18"/>
        </w:rPr>
        <w:t xml:space="preserve">  </w:t>
      </w:r>
      <w:hyperlink r:id="rId44">
        <w:r>
          <w:rPr>
            <w:rFonts w:ascii="Liberation Serif" w:hAnsi="Liberation Serif" w:eastAsia="Liberation Serif" w:cs="Liberation Serif"/>
            <w:color w:val="0563C1"/>
            <w:u w:val="single"/>
            <w:sz w:val="18"/>
          </w:rPr>
          <w:t>Link</w:t>
        </w:r>
      </w:hyperlink>
    </w:p>
    <w:p>
      <w:pPr>
        <w:spacing w:before="0" w:after="80" w:line="269" w:lineRule="auto"/>
        <w:ind w:left="369" w:hanging="369"/>
        <w:jc w:val="left"/>
        <w:widowControl w:val="1"/>
      </w:pPr>
      <w:r>
        <w:rPr>
          <w:rFonts w:ascii="Liberation Serif" w:hAnsi="Liberation Serif" w:eastAsia="Liberation Serif" w:cs="Liberation Serif"/>
          <w:b w:val="0"/>
          <w:i w:val="0"/>
          <w:color w:val="1F2937"/>
          <w:sz w:val="18"/>
        </w:rPr>
        <w:t>[27] Abrahamian, E. (2008). A History of Modern Iran. Cambridge University Press.</w:t>
      </w:r>
      <w:r>
        <w:rPr>
          <w:rFonts w:ascii="Liberation Serif" w:hAnsi="Liberation Serif" w:eastAsia="Liberation Serif" w:cs="Liberation Serif"/>
          <w:b w:val="0"/>
          <w:i w:val="0"/>
          <w:color w:val="1F2937"/>
          <w:sz w:val="18"/>
        </w:rPr>
        <w:t xml:space="preserve">  </w:t>
      </w:r>
      <w:hyperlink r:id="rId45">
        <w:r>
          <w:rPr>
            <w:rFonts w:ascii="Liberation Serif" w:hAnsi="Liberation Serif" w:eastAsia="Liberation Serif" w:cs="Liberation Serif"/>
            <w:color w:val="0563C1"/>
            <w:u w:val="single"/>
            <w:sz w:val="18"/>
          </w:rPr>
          <w:t>Link</w:t>
        </w:r>
      </w:hyperlink>
    </w:p>
    <w:p>
      <w:pPr>
        <w:spacing w:before="0" w:after="80" w:line="269" w:lineRule="auto"/>
        <w:ind w:left="369" w:hanging="369"/>
        <w:jc w:val="left"/>
        <w:widowControl w:val="1"/>
      </w:pPr>
      <w:r>
        <w:rPr>
          <w:rFonts w:ascii="Liberation Serif" w:hAnsi="Liberation Serif" w:eastAsia="Liberation Serif" w:cs="Liberation Serif"/>
          <w:b w:val="0"/>
          <w:i w:val="0"/>
          <w:color w:val="1F2937"/>
          <w:sz w:val="18"/>
        </w:rPr>
        <w:t>[28] Afary, J. (1996). The Iranian Constitutional Revolution, 1906–1911. Columbia University Press.</w:t>
      </w:r>
    </w:p>
    <w:p>
      <w:pPr>
        <w:spacing w:before="0" w:after="80" w:line="269" w:lineRule="auto"/>
        <w:ind w:left="369" w:hanging="369"/>
        <w:jc w:val="left"/>
        <w:widowControl w:val="1"/>
      </w:pPr>
      <w:r>
        <w:rPr>
          <w:rFonts w:ascii="Liberation Serif" w:hAnsi="Liberation Serif" w:eastAsia="Liberation Serif" w:cs="Liberation Serif"/>
          <w:b w:val="0"/>
          <w:i w:val="0"/>
          <w:color w:val="1F2937"/>
          <w:sz w:val="18"/>
        </w:rPr>
        <w:t>[29] Ansari, A. M. (2007). Modern Iran Since 1921: The Pahlavis and After (2nd ed.). Pearson Longman.</w:t>
      </w:r>
    </w:p>
    <w:p>
      <w:pPr>
        <w:spacing w:before="0" w:after="80" w:line="269" w:lineRule="auto"/>
        <w:ind w:left="369" w:hanging="369"/>
        <w:jc w:val="left"/>
        <w:widowControl w:val="1"/>
      </w:pPr>
      <w:r>
        <w:rPr>
          <w:rFonts w:ascii="Liberation Serif" w:hAnsi="Liberation Serif" w:eastAsia="Liberation Serif" w:cs="Liberation Serif"/>
          <w:b w:val="0"/>
          <w:i w:val="0"/>
          <w:color w:val="1F2937"/>
          <w:sz w:val="18"/>
        </w:rPr>
        <w:t>[30] International Atomic Energy Agency. Reports and safeguards updates on the nuclear programme of Iran.</w:t>
      </w:r>
      <w:r>
        <w:rPr>
          <w:rFonts w:ascii="Liberation Serif" w:hAnsi="Liberation Serif" w:eastAsia="Liberation Serif" w:cs="Liberation Serif"/>
          <w:b w:val="0"/>
          <w:i w:val="0"/>
          <w:color w:val="1F2937"/>
          <w:sz w:val="18"/>
        </w:rPr>
        <w:t xml:space="preserve">  </w:t>
      </w:r>
      <w:hyperlink r:id="rId46">
        <w:r>
          <w:rPr>
            <w:rFonts w:ascii="Liberation Serif" w:hAnsi="Liberation Serif" w:eastAsia="Liberation Serif" w:cs="Liberation Serif"/>
            <w:color w:val="0563C1"/>
            <w:u w:val="single"/>
            <w:sz w:val="18"/>
          </w:rPr>
          <w:t>Link</w:t>
        </w:r>
      </w:hyperlink>
    </w:p>
    <w:p>
      <w:pPr>
        <w:keepNext w:val="0"/>
        <w:keepLines w:val="0"/>
        <w:spacing w:before="0" w:after="80" w:line="269" w:lineRule="auto"/>
        <w:ind w:right="369" w:hanging="369"/>
        <w:jc w:val="right"/>
        <w:bidi w:val="1"/>
        <w:widowControl w:val="1"/>
      </w:pPr>
      <w:r>
        <w:rPr>
          <w:rFonts w:ascii="Noto Naskh Arabic" w:hAnsi="Noto Naskh Arabic" w:eastAsia="Noto Naskh Arabic" w:cs="Noto Naskh Arabic"/>
          <w:b w:val="0"/>
          <w:i w:val="0"/>
          <w:color w:val="1F2937"/>
          <w:sz w:val="18"/>
          <w:rtl w:val="1"/>
        </w:rPr>
        <w:t>[31] بخشایش، پیمان. (۲۰۲۶). ایران، جنگ و گذار دموکراتیک: ترجمهٔ تجربهٔ ایرانیان حامی گذار به زبان حقوق بشر، امنیت و حاکمیت قانون اروپا.</w:t>
      </w:r>
    </w:p>
    <w:p>
      <w:pPr>
        <w:keepNext w:val="0"/>
        <w:keepLines w:val="0"/>
        <w:spacing w:before="0" w:after="80" w:line="269" w:lineRule="auto"/>
        <w:ind w:right="369" w:hanging="369"/>
        <w:jc w:val="right"/>
        <w:bidi w:val="1"/>
        <w:widowControl w:val="1"/>
      </w:pPr>
      <w:r>
        <w:rPr>
          <w:rFonts w:ascii="Noto Naskh Arabic" w:hAnsi="Noto Naskh Arabic" w:eastAsia="Noto Naskh Arabic" w:cs="Noto Naskh Arabic"/>
          <w:b w:val="0"/>
          <w:i w:val="0"/>
          <w:color w:val="1F2937"/>
          <w:sz w:val="18"/>
          <w:rtl w:val="1"/>
        </w:rPr>
        <w:t>[32] بخشایش، پیمان. (۲۰۲۶). قدرت سیاسی، بایدها و نبایدها: گذار ایران به سکولاردموکراسی، آشتی ملی و استقرار حاکمیت قانون.</w:t>
      </w:r>
    </w:p>
    <w:p>
      <w:pPr>
        <w:keepNext w:val="0"/>
        <w:keepLines w:val="0"/>
        <w:spacing w:before="0" w:after="80" w:line="269" w:lineRule="auto"/>
        <w:ind w:right="369" w:hanging="369"/>
        <w:jc w:val="right"/>
        <w:bidi w:val="1"/>
        <w:widowControl w:val="1"/>
      </w:pPr>
      <w:r>
        <w:rPr>
          <w:rFonts w:ascii="Noto Naskh Arabic" w:hAnsi="Noto Naskh Arabic" w:eastAsia="Noto Naskh Arabic" w:cs="Noto Naskh Arabic"/>
          <w:b w:val="0"/>
          <w:i w:val="0"/>
          <w:color w:val="1F2937"/>
          <w:sz w:val="18"/>
          <w:rtl w:val="1"/>
        </w:rPr>
        <w:t>[33] بخشایش، پیمان. (۲۰۲۶). از پراکندگی سیاسی تا هفت خانوادهٔ پارلمانی: بازسازی آناتومی حزبی ایران.</w:t>
      </w:r>
    </w:p>
    <w:p>
      <w:pPr>
        <w:keepNext w:val="0"/>
        <w:keepLines w:val="0"/>
        <w:spacing w:before="0" w:after="80" w:line="269" w:lineRule="auto"/>
        <w:ind w:right="369" w:hanging="369"/>
        <w:jc w:val="right"/>
        <w:bidi w:val="1"/>
        <w:widowControl w:val="1"/>
      </w:pPr>
      <w:r>
        <w:rPr>
          <w:rFonts w:ascii="Noto Naskh Arabic" w:hAnsi="Noto Naskh Arabic" w:eastAsia="Noto Naskh Arabic" w:cs="Noto Naskh Arabic"/>
          <w:b w:val="0"/>
          <w:i w:val="0"/>
          <w:color w:val="1F2937"/>
          <w:sz w:val="18"/>
          <w:rtl w:val="1"/>
        </w:rPr>
        <w:t>[34] بخشایش، پیمان. (۲۰۲۶). هنر دیالوگ و رتوریک در دل جنبش شیر و خورشید.</w:t>
      </w:r>
    </w:p>
    <w:p>
      <w:pPr>
        <w:keepNext w:val="0"/>
        <w:keepLines w:val="0"/>
        <w:spacing w:before="0" w:after="80" w:line="269" w:lineRule="auto"/>
        <w:ind w:right="369" w:hanging="369"/>
        <w:jc w:val="right"/>
        <w:bidi w:val="1"/>
        <w:widowControl w:val="1"/>
      </w:pPr>
      <w:r>
        <w:rPr>
          <w:rFonts w:ascii="Noto Naskh Arabic" w:hAnsi="Noto Naskh Arabic" w:eastAsia="Noto Naskh Arabic" w:cs="Noto Naskh Arabic"/>
          <w:b w:val="0"/>
          <w:i w:val="0"/>
          <w:color w:val="1F2937"/>
          <w:sz w:val="18"/>
          <w:rtl w:val="1"/>
        </w:rPr>
        <w:t>[35] حزب انسجام ملی ایرانیان. (۲۰۲۶). برنامه، دستورکار و پلتفرم سیاسی بنیان‌گذار: وحدت ملی، دموکراسی سکولار، حاکمیت قانون و صندوق رأی.</w:t>
      </w:r>
    </w:p>
    <w:tbl>
      <w:tblPr>
        <w:tblW w:type="auto" w:w="0"/>
        <w:jc w:val="center"/>
        <w:tblLayout w:type="fixed"/>
        <w:tblLook w:firstColumn="1" w:firstRow="1" w:lastColumn="0" w:lastRow="0" w:noHBand="0" w:noVBand="1" w:val="04A0"/>
      </w:tblPr>
      <w:tblGrid>
        <w:gridCol w:w="9922"/>
      </w:tblGrid>
      <w:tr>
        <w:tc>
          <w:tcPr>
            <w:tcW w:type="dxa" w:w="8957"/>
            <w:shd w:fill="F3F4F6"/>
            <w:tcMar>
              <w:top w:w="160" w:type="dxa"/>
              <w:start w:w="220" w:type="dxa"/>
              <w:bottom w:w="160" w:type="dxa"/>
              <w:end w:w="220" w:type="dxa"/>
            </w:tcMar>
            <w:tcBorders>
              <w:top w:val="single" w:sz="10" w:color="9CA3AF"/>
              <w:left w:val="single" w:sz="10" w:color="9CA3AF"/>
              <w:bottom w:val="single" w:sz="10" w:color="9CA3AF"/>
              <w:right w:val="single" w:sz="10" w:color="9CA3AF"/>
            </w:tcBorders>
          </w:tcPr>
          <w:p>
            <w:pPr>
              <w:keepNext w:val="0"/>
              <w:keepLines w:val="0"/>
              <w:spacing w:before="0" w:after="0" w:line="288" w:lineRule="auto"/>
              <w:jc w:val="center"/>
              <w:bidi w:val="1"/>
            </w:pPr>
            <w:r>
              <w:rPr>
                <w:rFonts w:ascii="Noto Naskh Arabic" w:hAnsi="Noto Naskh Arabic" w:eastAsia="Noto Naskh Arabic" w:cs="Noto Naskh Arabic"/>
                <w:b w:val="0"/>
                <w:i w:val="0"/>
                <w:color w:val="6B7280"/>
                <w:sz w:val="19"/>
                <w:rtl w:val="1"/>
              </w:rPr>
              <w:t>یادداشت پایانی: مقادیر ۲۰۲۶ تا ۲۰۵۰، بستهٔ ۷۵ میلیارد دلاری و شکل منحنی آینده، سناریوهای تحلیلی نویسنده‌اند. آنها تعهد هیچ دولت یا نهاد مالی و تضمین نتیجهٔ سیاسی یا اقتصادی نیستند.</w:t>
            </w:r>
          </w:p>
        </w:tc>
      </w:tr>
    </w:tbl>
    <w:p>
      <w:pPr>
        <w:spacing w:after="0"/>
        <w:widowControl w:val="1"/>
      </w:pPr>
    </w:p>
    <w:sectPr w:rsidR="00FC693F" w:rsidRPr="0006063C" w:rsidSect="00034616">
      <w:headerReference w:type="default" r:id="rId20"/>
      <w:footerReference w:type="default" r:id="rId21"/>
      <w:pgSz w:w="11906" w:h="16838"/>
      <w:pgMar w:top="935" w:right="992" w:bottom="879" w:left="992" w:header="369" w:footer="369" w:gutter="0"/>
      <w:cols w:space="720"/>
      <w:titlePg/>
      <w:docGrid w:linePitch="360"/>
      <w:vAlign w:val="center"/>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2" w:color="D6B36A"/>
      </w:pBdr>
      <w:jc w:val="center"/>
    </w:pPr>
    <w:r/>
    <w:r>
      <w:rPr>
        <w:rFonts w:ascii="Noto Sans Arabic" w:hAnsi="Noto Sans Arabic" w:eastAsia="Noto Sans Arabic" w:cs="Noto Sans Arabic"/>
        <w:b w:val="0"/>
        <w:i w:val="0"/>
        <w:color w:val="6B7280"/>
        <w:sz w:val="18"/>
      </w:rPr>
      <w:fldChar w:fldCharType="begin"/>
      <w:instrText xml:space="preserve"> PAGE </w:instrTex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2" w:color="D6B36A"/>
      </w:pBdr>
      <w:jc w:val="center"/>
    </w:pPr>
    <w:r/>
    <w:r>
      <w:rPr>
        <w:rFonts w:ascii="Noto Sans Arabic" w:hAnsi="Noto Sans Arabic" w:eastAsia="Noto Sans Arabic" w:cs="Noto Sans Arabic"/>
        <w:b w:val="0"/>
        <w:i w:val="0"/>
        <w:color w:val="6B7280"/>
        <w:sz w:val="18"/>
      </w:rPr>
      <w:fldChar w:fldCharType="begin"/>
      <w:instrText xml:space="preserve"> PAGE </w:instrText>
      <w:fldChar w:fldCharType="end"/>
    </w: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2" w:color="D6B36A"/>
      </w:pBdr>
      <w:jc w:val="center"/>
    </w:pPr>
    <w:r/>
    <w:r>
      <w:rPr>
        <w:rFonts w:ascii="Noto Sans Arabic" w:hAnsi="Noto Sans Arabic" w:eastAsia="Noto Sans Arabic" w:cs="Noto Sans Arabic"/>
        <w:b w:val="0"/>
        <w:i w:val="0"/>
        <w:color w:val="6B7280"/>
        <w:sz w:val="18"/>
      </w:rPr>
      <w:fldChar w:fldCharType="begin"/>
      <w:instrText xml:space="preserve"> PAGE </w:instrText>
      <w:fldChar w:fldCharType="end"/>
    </w:r>
  </w:p>
</w:ftr>
</file>

<file path=word/footer5.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2" w:color="D6B36A"/>
      </w:pBdr>
      <w:jc w:val="center"/>
    </w:pPr>
    <w:r/>
    <w:r>
      <w:rPr>
        <w:rFonts w:ascii="Noto Sans Arabic" w:hAnsi="Noto Sans Arabic" w:eastAsia="Noto Sans Arabic" w:cs="Noto Sans Arabic"/>
        <w:b w:val="0"/>
        <w:i w:val="0"/>
        <w:color w:val="6B7280"/>
        <w:sz w:val="18"/>
      </w:rPr>
      <w:fldChar w:fldCharType="begin"/>
      <w:instrText xml:space="preserve"> PAGE </w:instrText>
      <w:fldChar w:fldCharType="end"/>
    </w:r>
  </w:p>
</w:ftr>
</file>

<file path=word/footer6.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2" w:color="D6B36A"/>
      </w:pBdr>
      <w:jc w:val="center"/>
    </w:pPr>
    <w:r/>
    <w:r>
      <w:rPr>
        <w:rFonts w:ascii="Noto Sans Arabic" w:hAnsi="Noto Sans Arabic" w:eastAsia="Noto Sans Arabic" w:cs="Noto Sans Arabic"/>
        <w:b w:val="0"/>
        <w:i w:val="0"/>
        <w:color w:val="6B7280"/>
        <w:sz w:val="18"/>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keepNext w:val="0"/>
      <w:keepLines w:val="0"/>
      <w:spacing w:before="0" w:after="40" w:line="240" w:lineRule="auto"/>
      <w:jc w:val="right"/>
      <w:bidi w:val="1"/>
      <w:pBdr>
        <w:bottom w:val="single" w:sz="4" w:space="2" w:color="D6B36A"/>
      </w:pBdr>
    </w:pPr>
    <w:r/>
    <w:r>
      <w:rPr>
        <w:rFonts w:ascii="Noto Sans Arabic" w:hAnsi="Noto Sans Arabic" w:eastAsia="Noto Sans Arabic" w:cs="Noto Sans Arabic"/>
        <w:b w:val="0"/>
        <w:i w:val="0"/>
        <w:color w:val="6B7280"/>
        <w:sz w:val="17"/>
        <w:rtl w:val="1"/>
      </w:rPr>
      <w:t>ایران پس از طوفان  |  پیمان بخشایش</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keepNext w:val="0"/>
      <w:keepLines w:val="0"/>
      <w:spacing w:before="0" w:after="40" w:line="240" w:lineRule="auto"/>
      <w:jc w:val="right"/>
      <w:bidi w:val="1"/>
      <w:pBdr>
        <w:bottom w:val="single" w:sz="4" w:space="2" w:color="D6B36A"/>
      </w:pBdr>
    </w:pPr>
    <w:r/>
    <w:r>
      <w:rPr>
        <w:rFonts w:ascii="Noto Sans Arabic" w:hAnsi="Noto Sans Arabic" w:eastAsia="Noto Sans Arabic" w:cs="Noto Sans Arabic"/>
        <w:b w:val="0"/>
        <w:i w:val="0"/>
        <w:color w:val="6B7280"/>
        <w:sz w:val="17"/>
        <w:rtl w:val="1"/>
      </w:rPr>
      <w:t>ایران پس از طوفان  |  پیمان بخشایش</w:t>
    </w: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keepNext w:val="0"/>
      <w:keepLines w:val="0"/>
      <w:spacing w:before="0" w:after="40" w:line="240" w:lineRule="auto"/>
      <w:jc w:val="right"/>
      <w:bidi w:val="1"/>
      <w:pBdr>
        <w:bottom w:val="single" w:sz="4" w:space="2" w:color="D6B36A"/>
      </w:pBdr>
    </w:pPr>
    <w:r/>
    <w:r>
      <w:rPr>
        <w:rFonts w:ascii="Noto Sans Arabic" w:hAnsi="Noto Sans Arabic" w:eastAsia="Noto Sans Arabic" w:cs="Noto Sans Arabic"/>
        <w:b w:val="0"/>
        <w:i w:val="0"/>
        <w:color w:val="6B7280"/>
        <w:sz w:val="17"/>
        <w:rtl w:val="1"/>
      </w:rPr>
      <w:t>ایران پس از طوفان  |  پیمان بخشایش</w:t>
    </w:r>
  </w:p>
</w:hdr>
</file>

<file path=word/header5.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keepNext w:val="0"/>
      <w:keepLines w:val="0"/>
      <w:spacing w:before="0" w:after="40" w:line="240" w:lineRule="auto"/>
      <w:jc w:val="right"/>
      <w:bidi w:val="1"/>
      <w:pBdr>
        <w:bottom w:val="single" w:sz="4" w:space="2" w:color="D6B36A"/>
      </w:pBdr>
    </w:pPr>
    <w:r/>
    <w:r>
      <w:rPr>
        <w:rFonts w:ascii="Noto Sans Arabic" w:hAnsi="Noto Sans Arabic" w:eastAsia="Noto Sans Arabic" w:cs="Noto Sans Arabic"/>
        <w:b w:val="0"/>
        <w:i w:val="0"/>
        <w:color w:val="6B7280"/>
        <w:sz w:val="17"/>
        <w:rtl w:val="1"/>
      </w:rPr>
      <w:t>ایران پس از طوفان  |  پیمان بخشایش</w:t>
    </w:r>
  </w:p>
</w:hdr>
</file>

<file path=word/header6.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keepNext w:val="0"/>
      <w:keepLines w:val="0"/>
      <w:spacing w:before="0" w:after="40" w:line="240" w:lineRule="auto"/>
      <w:jc w:val="right"/>
      <w:bidi w:val="1"/>
      <w:pBdr>
        <w:bottom w:val="single" w:sz="4" w:space="2" w:color="D6B36A"/>
      </w:pBdr>
    </w:pPr>
    <w:r/>
    <w:r>
      <w:rPr>
        <w:rFonts w:ascii="Noto Sans Arabic" w:hAnsi="Noto Sans Arabic" w:eastAsia="Noto Sans Arabic" w:cs="Noto Sans Arabic"/>
        <w:b w:val="0"/>
        <w:i w:val="0"/>
        <w:color w:val="6B7280"/>
        <w:sz w:val="17"/>
        <w:rtl w:val="1"/>
      </w:rPr>
      <w:t>ایران پس از طوفان  |  پیمان بخشایش</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Noto Naskh Arabic" w:hAnsi="Noto Naskh Arabic" w:cs="Noto Naskh Arabic"/>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Noto Sans Arabic" w:hAnsi="Noto Sans Arabic" w:cs="Noto Sans Arabic"/>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Noto Sans Arabic" w:hAnsi="Noto Sans Arabic" w:cs="Noto Sans Arabic"/>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Noto Sans Arabic" w:hAnsi="Noto Sans Arabic" w:cs="Noto Sans Arabic"/>
      <w:b/>
      <w:bCs/>
      <w:color w:val="4F81BD" w:themeColor="accent1"/>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ference">
    <w:name w:val="Reference"/>
    <w:rPr>
      <w:rFonts w:ascii="Liberation Serif" w:hAnsi="Liberation Serif"/>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 Id="rId15" Type="http://schemas.openxmlformats.org/officeDocument/2006/relationships/image" Target="media/image1.png"/><Relationship Id="rId16" Type="http://schemas.openxmlformats.org/officeDocument/2006/relationships/header" Target="header4.xml"/><Relationship Id="rId17" Type="http://schemas.openxmlformats.org/officeDocument/2006/relationships/footer" Target="footer4.xml"/><Relationship Id="rId18" Type="http://schemas.openxmlformats.org/officeDocument/2006/relationships/header" Target="header5.xml"/><Relationship Id="rId19" Type="http://schemas.openxmlformats.org/officeDocument/2006/relationships/footer" Target="footer5.xml"/><Relationship Id="rId20" Type="http://schemas.openxmlformats.org/officeDocument/2006/relationships/header" Target="header6.xml"/><Relationship Id="rId21" Type="http://schemas.openxmlformats.org/officeDocument/2006/relationships/footer" Target="footer6.xml"/><Relationship Id="rId22" Type="http://schemas.openxmlformats.org/officeDocument/2006/relationships/image" Target="media/image2.png"/><Relationship Id="rId23" Type="http://schemas.openxmlformats.org/officeDocument/2006/relationships/hyperlink" Target="https://doi.org/10.1017/CBO9780511575839" TargetMode="External"/><Relationship Id="rId24" Type="http://schemas.openxmlformats.org/officeDocument/2006/relationships/hyperlink" Target="https://cup.columbia.edu/book/why-civil-resistance-works/9780231156820" TargetMode="External"/><Relationship Id="rId25" Type="http://schemas.openxmlformats.org/officeDocument/2006/relationships/hyperlink" Target="https://doi.org/10.1162/ISEC_a_00117" TargetMode="External"/><Relationship Id="rId26" Type="http://schemas.openxmlformats.org/officeDocument/2006/relationships/hyperlink" Target="https://doi.org/10.1017/9781316336182" TargetMode="External"/><Relationship Id="rId27" Type="http://schemas.openxmlformats.org/officeDocument/2006/relationships/hyperlink" Target="https://www.worldbank.org/en/country/iran" TargetMode="External"/><Relationship Id="rId28" Type="http://schemas.openxmlformats.org/officeDocument/2006/relationships/hyperlink" Target="https://data.worldbank.org/indicator/NY.GDP.PCAP.KD?locations=IR" TargetMode="External"/><Relationship Id="rId29" Type="http://schemas.openxmlformats.org/officeDocument/2006/relationships/hyperlink" Target="https://genderdata.worldbank.org/en/economies/iran-islamic-rep" TargetMode="External"/><Relationship Id="rId30" Type="http://schemas.openxmlformats.org/officeDocument/2006/relationships/hyperlink" Target="https://www.imf.org/en/Publications/WEO/weo-database/2026/July" TargetMode="External"/><Relationship Id="rId31" Type="http://schemas.openxmlformats.org/officeDocument/2006/relationships/hyperlink" Target="https://www.imf.org/en/About/Factsheets/Sheets/2023/IMF-Conditionality" TargetMode="External"/><Relationship Id="rId32" Type="http://schemas.openxmlformats.org/officeDocument/2006/relationships/hyperlink" Target="https://www.worldbank.org/en/about/annual-report" TargetMode="External"/><Relationship Id="rId33" Type="http://schemas.openxmlformats.org/officeDocument/2006/relationships/hyperlink" Target="https://www.miga.org/product/war-and-civil-disturbance" TargetMode="External"/><Relationship Id="rId34" Type="http://schemas.openxmlformats.org/officeDocument/2006/relationships/hyperlink" Target="https://www.rug.nl/ggdc/historicaldevelopment/maddison/releases/maddison-project-database-2023" TargetMode="External"/><Relationship Id="rId35" Type="http://schemas.openxmlformats.org/officeDocument/2006/relationships/hyperlink" Target="https://gamaan.org/2024/" TargetMode="External"/><Relationship Id="rId36" Type="http://schemas.openxmlformats.org/officeDocument/2006/relationships/hyperlink" Target="https://gamaan.org/2026/07/27/iranians-attitudes-toward-the-2026-protests-and-war/" TargetMode="External"/><Relationship Id="rId37" Type="http://schemas.openxmlformats.org/officeDocument/2006/relationships/hyperlink" Target="https://www.reuters.com/investigations/regime-change-inside-reza-pahlavis-faltering-bid-lead-iran-2026-07-27/" TargetMode="External"/><Relationship Id="rId38" Type="http://schemas.openxmlformats.org/officeDocument/2006/relationships/hyperlink" Target="https://www.reuters.com/world/middle-east/us-forces-strike-two-iranian-launchers-irans-larak-island-us-official-says-2026-08-30/" TargetMode="External"/><Relationship Id="rId39" Type="http://schemas.openxmlformats.org/officeDocument/2006/relationships/hyperlink" Target="https://www.reuters.com/world/middle-east/gulf-bourses-slip-iran-us-escalation-dents-risk-appetite-2026-08-31/" TargetMode="External"/><Relationship Id="rId40" Type="http://schemas.openxmlformats.org/officeDocument/2006/relationships/hyperlink" Target="https://iran.unfpa.org/en/topics/population-ageing-and-disabilities" TargetMode="External"/><Relationship Id="rId41" Type="http://schemas.openxmlformats.org/officeDocument/2006/relationships/hyperlink" Target="https://www.cipd.org/en/knowledge/factsheets/pestle-analysis-factsheet/" TargetMode="External"/><Relationship Id="rId42" Type="http://schemas.openxmlformats.org/officeDocument/2006/relationships/hyperlink" Target="https://www.ifm.eng.cam.ac.uk/research/dstools/force-field-analysis/" TargetMode="External"/><Relationship Id="rId43" Type="http://schemas.openxmlformats.org/officeDocument/2006/relationships/hyperlink" Target="https://www.eia.gov/international/analysis/special-topics/World_Oil_Transit_Chokepoints" TargetMode="External"/><Relationship Id="rId44" Type="http://schemas.openxmlformats.org/officeDocument/2006/relationships/hyperlink" Target="https://rezapahlavi.org/en/events/speech-dutch-house-foreign-affairs-committee-july-6-2026" TargetMode="External"/><Relationship Id="rId45" Type="http://schemas.openxmlformats.org/officeDocument/2006/relationships/hyperlink" Target="https://doi.org/10.1017/CBO9780511984402" TargetMode="External"/><Relationship Id="rId46" Type="http://schemas.openxmlformats.org/officeDocument/2006/relationships/hyperlink" Target="https://www.iaea.org/newscenter/focus/ir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ایران پس از طوفان: از مهار خون‌ریزی تا رنسانس شومپتری</dc:title>
  <dc:subject>سناریوی فرضی گذار ایران به پادشاهی پارلمانی سکولاردموکراتیک و بازسازی اقتصادی</dc:subject>
  <dc:creator>Peyman Bakhshayesh, MD, PhD, MBA</dc:creator>
  <cp:keywords>Iran, Reza Pahlavi, secular democracy, constitutional monarchy, Schumpeter, PESTEL, Lewin, reconstruction</cp:keywords>
  <dc:description>Scenario-based analytical article; future projections are hypothetical, not predictions.</dc:description>
  <cp:lastModifiedBy/>
  <cp:revision>1</cp:revision>
  <dcterms:created xsi:type="dcterms:W3CDTF">2013-12-23T23:15:00Z</dcterms:created>
  <dcterms:modified xsi:type="dcterms:W3CDTF">2013-12-23T23:15:00Z</dcterms:modified>
  <cp:category/>
</cp:coreProperties>
</file>