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widowControl/>
        <w:bidi w:val="1"/>
      </w:pPr>
      <w:r>
        <w:rPr>
          <w:rFonts w:ascii="DejaVu Sans" w:hAnsi="DejaVu Sans" w:cs="DejaVu Sans"/>
          <w:b/>
          <w:i w:val="0"/>
          <w:color w:val="000000"/>
          <w:sz w:val="50"/>
          <w:szCs w:val="50"/>
          <w:rtl w:val="1"/>
          <w:bCs/>
        </w:rPr>
        <w:t>انترناسیونالیسم</w:t>
      </w:r>
    </w:p>
    <w:p>
      <w:pPr>
        <w:pStyle w:val="Subtitle"/>
        <w:jc w:val="start"/>
        <w:widowControl/>
        <w:bidi w:val="1"/>
      </w:pPr>
      <w:r>
        <w:rPr>
          <w:rFonts w:ascii="DejaVu Sans" w:hAnsi="DejaVu Sans" w:cs="DejaVu Sans"/>
          <w:b/>
          <w:i w:val="0"/>
          <w:color w:val="000000"/>
          <w:sz w:val="30"/>
          <w:szCs w:val="30"/>
          <w:rtl w:val="1"/>
          <w:bCs/>
        </w:rPr>
        <w:t>ناسیونالیسمش روسی است و عنترش ماییم</w:t>
      </w:r>
    </w:p>
    <w:p>
      <w:pPr>
        <w:jc w:val="start"/>
        <w:widowControl/>
        <w:bidi w:val="1"/>
      </w:pPr>
      <w:r>
        <w:rPr>
          <w:rFonts w:ascii="DejaVu Sans" w:hAnsi="DejaVu Sans" w:cs="DejaVu Sans"/>
          <w:b w:val="0"/>
          <w:i w:val="0"/>
          <w:color w:val="000000"/>
          <w:sz w:val="23"/>
          <w:szCs w:val="23"/>
          <w:rtl w:val="1"/>
        </w:rPr>
        <w:t>نقد چپ اردوگاهی و تقدم منافع مسکو بر استقلال ایران</w:t>
      </w:r>
    </w:p>
    <w:p>
      <w:pPr>
        <w:jc w:val="start"/>
        <w:widowControl/>
        <w:bidi w:val="1"/>
      </w:pPr>
      <w:r>
        <w:rPr>
          <w:rFonts w:ascii="DejaVu Sans" w:hAnsi="DejaVu Sans" w:cs="DejaVu Sans"/>
          <w:b/>
          <w:i w:val="0"/>
          <w:color w:val="000000"/>
          <w:sz w:val="23"/>
          <w:szCs w:val="23"/>
          <w:rtl w:val="1"/>
          <w:bCs/>
        </w:rPr>
        <w:t>دکتر پیمان بخشایش | جراح تروما</w:t>
      </w:r>
    </w:p>
    <w:p>
      <w:pPr>
        <w:jc w:val="right"/>
      </w:pPr>
      <w:r>
        <w:rPr>
          <w:rFonts w:ascii="DejaVu Sans" w:hAnsi="DejaVu Sans" w:cs="DejaVu Sans"/>
          <w:b w:val="0"/>
          <w:i w:val="0"/>
          <w:color w:val="000000"/>
          <w:sz w:val="20"/>
          <w:szCs w:val="20"/>
        </w:rPr>
        <w:t>MD, PhD, MBA  |  28 September 2026</w:t>
      </w:r>
    </w:p>
    <w:p>
      <w:pPr>
        <w:jc w:val="start"/>
        <w:widowControl/>
        <w:bidi w:val="1"/>
      </w:pPr>
      <w:r>
        <w:rPr>
          <w:rFonts w:ascii="DejaVu Sans" w:hAnsi="DejaVu Sans" w:cs="DejaVu Sans"/>
          <w:b w:val="0"/>
          <w:i w:val="0"/>
          <w:color w:val="000000"/>
          <w:sz w:val="22"/>
          <w:szCs w:val="22"/>
          <w:rtl w:val="1"/>
        </w:rPr>
        <w:t>این یادداشت با تکیه بر خاطرهٔ شخصی و اسناد تاریخی، وابستگی سیاسی به شوروی را نقد می‌کند. بحث اصلی آن است که همبستگی جهانی، هنگامی که به تبعیت از منافع یک دولت تبدیل شود، استقلالِ تصمیم‌گیری و آزادی مردم را تضعیف می‌کند.</w:t>
      </w:r>
    </w:p>
    <w:p>
      <w:pPr>
        <w:jc w:val="center"/>
      </w:pPr>
      <w:r>
        <w:drawing>
          <wp:inline xmlns:a="http://schemas.openxmlformats.org/drawingml/2006/main" xmlns:pic="http://schemas.openxmlformats.org/drawingml/2006/picture">
            <wp:extent cx="4069080" cy="5084537"/>
            <wp:docPr id="1" name="Picture 1" descr="کارتون نمادین بنی‌صدر در کنار عروسک‌های چپ اردوگاهی که رشته‌هایشان در دست مقام شوروی است"/>
            <wp:cNvGraphicFramePr>
              <a:graphicFrameLocks noChangeAspect="1"/>
            </wp:cNvGraphicFramePr>
            <a:graphic>
              <a:graphicData uri="http://schemas.openxmlformats.org/drawingml/2006/picture">
                <pic:pic>
                  <pic:nvPicPr>
                    <pic:cNvPr id="0" name="exec-c31055c7-bfd4-4727-a300-e96ddc6ad4b1.png"/>
                    <pic:cNvPicPr/>
                  </pic:nvPicPr>
                  <pic:blipFill>
                    <a:blip r:embed="rId9"/>
                    <a:stretch>
                      <a:fillRect/>
                    </a:stretch>
                  </pic:blipFill>
                  <pic:spPr>
                    <a:xfrm>
                      <a:off x="0" y="0"/>
                      <a:ext cx="4069080" cy="5084537"/>
                    </a:xfrm>
                    <a:prstGeom prst="rect"/>
                  </pic:spPr>
                </pic:pic>
              </a:graphicData>
            </a:graphic>
          </wp:inline>
        </w:drawing>
      </w:r>
    </w:p>
    <w:p>
      <w:pPr>
        <w:jc w:val="start"/>
        <w:widowControl/>
        <w:bidi w:val="1"/>
      </w:pPr>
      <w:r>
        <w:rPr>
          <w:rFonts w:ascii="DejaVu Sans" w:hAnsi="DejaVu Sans" w:cs="DejaVu Sans"/>
          <w:b w:val="0"/>
          <w:i w:val="0"/>
          <w:color w:val="000000"/>
          <w:sz w:val="18"/>
          <w:szCs w:val="18"/>
          <w:rtl w:val="1"/>
        </w:rPr>
        <w:t>کارتون نمادین بر اساس مضمون یادداشت؛ عبارتِ عنوان به بنی‌صدر منسوب است و انتساب قطعی آن نیازمند سند اولیه است.</w:t>
      </w:r>
    </w:p>
    <w:p>
      <w:r>
        <w:br w:type="page"/>
      </w:r>
    </w:p>
    <w:p>
      <w:pPr>
        <w:pStyle w:val="Heading1"/>
        <w:spacing w:before="280" w:after="160"/>
        <w:jc w:val="start"/>
        <w:keepNext/>
        <w:widowControl/>
        <w:bidi w:val="1"/>
      </w:pPr>
      <w:r>
        <w:rPr>
          <w:rFonts w:ascii="DejaVu Sans" w:hAnsi="DejaVu Sans" w:cs="DejaVu Sans"/>
          <w:b/>
          <w:i w:val="0"/>
          <w:color w:val="000000"/>
          <w:sz w:val="28"/>
          <w:szCs w:val="28"/>
          <w:rtl w:val="1"/>
          <w:bCs/>
        </w:rPr>
        <w:t>خاطرهٔ یک کودک از سیاست بزرگسالان</w:t>
      </w:r>
    </w:p>
    <w:p>
      <w:pPr>
        <w:jc w:val="start"/>
        <w:widowControl/>
        <w:bidi w:val="1"/>
      </w:pPr>
      <w:r>
        <w:rPr>
          <w:rFonts w:ascii="DejaVu Sans" w:hAnsi="DejaVu Sans" w:cs="DejaVu Sans"/>
          <w:b w:val="0"/>
          <w:i w:val="0"/>
          <w:color w:val="000000"/>
          <w:sz w:val="23"/>
          <w:szCs w:val="23"/>
          <w:rtl w:val="1"/>
        </w:rPr>
        <w:t>من هنگام انقلاب ۱۳۵۷ هفت‌ساله بودم. از آن سال‌ها و فضای پس از انقلاب، بحث‌هایی در خاطرم مانده است که در آن‌ها پیروزی شوروی بر آمریکا، گویی مقدمهٔ حل همهٔ مشکلات بشر بود. در میان برخی از چپ‌گرایانی که می‌دیدم، مسکو مرجع تشخیص درست و نادرست شده بود. از نگاه آنان، خدمت به «سوسیالیسم واقعاً موجود» وظیفه‌ای تاریخی به شمار می‌رفت و منافع ایران باید در چارچوب پیروزی آن اردوگاه معنا پیدا می‌کرد.</w:t>
      </w:r>
    </w:p>
    <w:p>
      <w:pPr>
        <w:jc w:val="start"/>
        <w:widowControl/>
        <w:bidi w:val="1"/>
      </w:pPr>
      <w:r>
        <w:rPr>
          <w:rFonts w:ascii="DejaVu Sans" w:hAnsi="DejaVu Sans" w:cs="DejaVu Sans"/>
          <w:b w:val="0"/>
          <w:i w:val="0"/>
          <w:color w:val="000000"/>
          <w:sz w:val="23"/>
          <w:szCs w:val="23"/>
          <w:rtl w:val="1"/>
        </w:rPr>
        <w:t>این توصیف، خاطرهٔ من از محیطی معین است؛ اندازه‌گیری افکار همهٔ چپ‌گرایان ایران نیست. ارزش خاطره در نشان‌دادن فضای ذهنی آن روزگار است و برای داوری دربارهٔ احزاب و تصمیم‌های مشخص، باید به سند رجوع کرد. با این حال، پرسشی که از آن تجربه برای من باقی مانده روشن است: اگر هر اختلافی میان خواست مردم ایران و سیاست شوروی به سود مسکو حل می‌شد، جای استقلال ایران کجا بود؟</w:t>
      </w:r>
    </w:p>
    <w:p>
      <w:pPr>
        <w:jc w:val="start"/>
        <w:widowControl/>
        <w:bidi w:val="1"/>
      </w:pPr>
      <w:r>
        <w:rPr>
          <w:rFonts w:ascii="DejaVu Sans" w:hAnsi="DejaVu Sans" w:cs="DejaVu Sans"/>
          <w:b w:val="0"/>
          <w:i w:val="0"/>
          <w:color w:val="000000"/>
          <w:sz w:val="23"/>
          <w:szCs w:val="23"/>
          <w:rtl w:val="1"/>
        </w:rPr>
        <w:t>عبارتِ منسوب به ابوالحسن بنی‌صدر، «ناسیونالیسمش روسی است و عنترش ماییم»، همین تناقض را با طنزی گزنده بیان می‌کند. بازی با واژهٔ «عنتر» در اینجا به معنای بازیچه‌شدن است؛ نه ریشه‌شناسی علمیِ انترناسیونالیسم. تا زمانی که متن، صوت یا تصویرِ تاریخ‌دارِ سخنرانی اصلی ارائه نشده، این عبارت باید با قید «منسوب» بازنشر شود. قوتِ یک نقد تاریخی نیز نمی‌تواند تنها بر شهرت یک لطیفه تکیه کند.</w:t>
      </w:r>
    </w:p>
    <w:p>
      <w:pPr>
        <w:pStyle w:val="Heading1"/>
        <w:spacing w:before="280" w:after="160"/>
        <w:jc w:val="start"/>
        <w:keepNext/>
        <w:widowControl/>
        <w:bidi w:val="1"/>
      </w:pPr>
      <w:r>
        <w:rPr>
          <w:rFonts w:ascii="DejaVu Sans" w:hAnsi="DejaVu Sans" w:cs="DejaVu Sans"/>
          <w:b/>
          <w:i w:val="0"/>
          <w:color w:val="000000"/>
          <w:sz w:val="28"/>
          <w:szCs w:val="28"/>
          <w:rtl w:val="1"/>
          <w:bCs/>
        </w:rPr>
        <w:t>بنی‌صدر و نیروهای ملی در آستانهٔ انقلاب</w:t>
      </w:r>
    </w:p>
    <w:p>
      <w:pPr>
        <w:jc w:val="start"/>
        <w:widowControl/>
        <w:bidi w:val="1"/>
      </w:pPr>
      <w:r>
        <w:rPr>
          <w:rFonts w:ascii="DejaVu Sans" w:hAnsi="DejaVu Sans" w:cs="DejaVu Sans"/>
          <w:b w:val="0"/>
          <w:i w:val="0"/>
          <w:color w:val="000000"/>
          <w:sz w:val="23"/>
          <w:szCs w:val="23"/>
          <w:rtl w:val="1"/>
        </w:rPr>
        <w:t>بنی‌صدر روشنفکری اسلامی با سابقهٔ فعالیت در جبههٔ ملی بود. [۱] این سابقه را نباید بدون مدرکِ تشکیلاتی، عضویت رسمی در نهضت آزادی نامید. نهضت آزادی در سال ۱۳۴۰ به دست مهدی بازرگان، یدالله سحابی و محمود طالقانی تأسیس شد؛ ابراهیم یزدی نیز از چهره‌های شناخته‌شدهٔ آن بود. نام درستِ بازرگان، «مهدی بازرگان» است. این جریان در ابتدا محدودکردن قدرت شاه در چارچوب قانون اساسی را می‌خواست و در سال ۱۳۵۷ به انقلاب تحت رهبری خمینی پیوست. [۲]</w:t>
      </w:r>
    </w:p>
    <w:p>
      <w:pPr>
        <w:jc w:val="start"/>
        <w:widowControl/>
        <w:bidi w:val="1"/>
      </w:pPr>
      <w:r>
        <w:rPr>
          <w:rFonts w:ascii="DejaVu Sans" w:hAnsi="DejaVu Sans" w:cs="DejaVu Sans"/>
          <w:b w:val="0"/>
          <w:i w:val="0"/>
          <w:color w:val="000000"/>
          <w:sz w:val="23"/>
          <w:szCs w:val="23"/>
          <w:rtl w:val="1"/>
        </w:rPr>
        <w:t>جبههٔ ملی را نیز نمی‌توان به دو شاخهٔ ثابتِ «غرب‌گرا» و «ملی‌مذهبی» فروکاست. این جبهه ائتلافی از گرایش‌های گوناگون بود. [۳] اختلاف بختیار و سنجابی، به‌ویژه در ماه‌های پایانی سلطنت، بر سر راهِ مواجهه با بحران و رهبری خمینی اهمیت پیدا کرد. سنجابی در آبان ۱۳۵۷ اعلامیه‌ای منتشر کرد که برای حکومت آینده بر اسلام، دموکراسی و استقلال تکیه داشت. [۴] بختیار در واپسین هفته‌های سلطنت مسئولیت نخست‌وزیری را پذیرفت و شاه در ۲۶ دی ۱۳۵۷ ایران را ترک کرد. این رویداد، انتصاب به نخست‌وزیری بود و نباید آن را انتقال همهٔ اختیارات سلطنت به بختیار توصیف کرد. [۵]</w:t>
      </w:r>
    </w:p>
    <w:p>
      <w:pPr>
        <w:jc w:val="start"/>
        <w:widowControl/>
        <w:bidi w:val="1"/>
      </w:pPr>
      <w:r>
        <w:rPr>
          <w:rFonts w:ascii="DejaVu Sans" w:hAnsi="DejaVu Sans" w:cs="DejaVu Sans"/>
          <w:b w:val="0"/>
          <w:i w:val="0"/>
          <w:color w:val="000000"/>
          <w:sz w:val="23"/>
          <w:szCs w:val="23"/>
          <w:rtl w:val="1"/>
        </w:rPr>
        <w:t>در داوری سیاسی من، همراهی چهره‌هایی چون بنی‌صدر، سنجابی، بازرگان، قطب‌زاده و یزدی با روند انقلاب، به تقویت جایگاه خمینی کمک کرد. حضور یزدی، بنی‌صدر و قطب‌زاده در حلقهٔ پیرامون او در فرانسه بخشی از همین زمینهٔ تاریخی است. [۶] اما سهم هر فرد، نیت او و سرنوشت بعدی‌اش یکسان نبود. بازرگان با نهادهای موازی و اشغال سفارت آمریکا اختلاف پیدا کرد. [۲] تعبیر «هموارکردن راهِ قدرت‌گیری روحانیان» بیانِ ارزیابی من از نتیجهٔ سیاسی این همراهی است؛ از آن نمی‌توان نتیجه گرفت که همهٔ این افراد از ابتدا خواهان شکل نهاییِ استبداد دینی بودند.</w:t>
      </w:r>
    </w:p>
    <w:p>
      <w:pPr>
        <w:pStyle w:val="Heading1"/>
        <w:spacing w:before="280" w:after="160"/>
        <w:jc w:val="start"/>
        <w:keepNext/>
        <w:widowControl/>
        <w:bidi w:val="1"/>
      </w:pPr>
      <w:r>
        <w:rPr>
          <w:rFonts w:ascii="DejaVu Sans" w:hAnsi="DejaVu Sans" w:cs="DejaVu Sans"/>
          <w:b/>
          <w:i w:val="0"/>
          <w:color w:val="000000"/>
          <w:sz w:val="28"/>
          <w:szCs w:val="28"/>
          <w:rtl w:val="1"/>
          <w:bCs/>
        </w:rPr>
        <w:t>حزب توده و آزمون نفت شمال</w:t>
      </w:r>
    </w:p>
    <w:p>
      <w:pPr>
        <w:jc w:val="start"/>
        <w:widowControl/>
        <w:bidi w:val="1"/>
      </w:pPr>
      <w:r>
        <w:rPr>
          <w:rFonts w:ascii="DejaVu Sans" w:hAnsi="DejaVu Sans" w:cs="DejaVu Sans"/>
          <w:b w:val="0"/>
          <w:i w:val="0"/>
          <w:color w:val="000000"/>
          <w:sz w:val="23"/>
          <w:szCs w:val="23"/>
          <w:rtl w:val="1"/>
        </w:rPr>
        <w:t>برای سنجیدن نسبتِ استقلال‌خواهی و وفاداری به مسکو، ماجرای نفت شمال نمونه‌ای مشخص است. بنا بر مدخل سپهر ذبیح در دانشنامهٔ ایرانیکا، حزب توده در تظاهرات ۲۷ اکتبر ۱۹۴۴ از درخواست شوروی برای امتیاز نفت شمال حمایت کرد. استدلالِ «موازنهٔ مثبت» این بود که شوروی باید امتیازهایی هم‌سنگ بریتانیا دریافت کند؛ در کنار آن، شمال ایران به‌عنوان حوزهٔ امنیتی شوروی مطرح می‌شد و دولت سوسیالیستی ذاتاً غیر‌استعماری فرض می‌شد. [۷]</w:t>
      </w:r>
    </w:p>
    <w:p>
      <w:pPr>
        <w:jc w:val="start"/>
        <w:widowControl/>
        <w:bidi w:val="1"/>
      </w:pPr>
      <w:r>
        <w:rPr>
          <w:rFonts w:ascii="DejaVu Sans" w:hAnsi="DejaVu Sans" w:cs="DejaVu Sans"/>
          <w:b w:val="0"/>
          <w:i w:val="0"/>
          <w:color w:val="000000"/>
          <w:sz w:val="23"/>
          <w:szCs w:val="23"/>
          <w:rtl w:val="1"/>
        </w:rPr>
        <w:t>به نظر من، مسئله دقیقاً در همین امتیازِ اخلاقیِ ازپیش‌داده‌شده به شوروی بود. وقتی ماهیتِ ادعایی یک دولت، جای بررسی رفتار آن را بگیرد، مطالبهٔ امتیاز اقتصادی دیگر با همان معیاری سنجیده نمی‌شود که دربارهٔ قدرت رقیب به کار می‌رود. مخالفت با نفوذ بریتانیا نمی‌تواند به‌خودی‌خود دلیلِ واگذاری امتیاز به شوروی باشد. استقلال زمانی معنا دارد که برای قدرت‌های مختلف با معیار واحد داوری کنیم.</w:t>
      </w:r>
    </w:p>
    <w:p>
      <w:pPr>
        <w:jc w:val="start"/>
        <w:widowControl/>
        <w:bidi w:val="1"/>
      </w:pPr>
      <w:r>
        <w:rPr>
          <w:rFonts w:ascii="DejaVu Sans" w:hAnsi="DejaVu Sans" w:cs="DejaVu Sans"/>
          <w:b w:val="0"/>
          <w:i w:val="0"/>
          <w:color w:val="000000"/>
          <w:sz w:val="23"/>
          <w:szCs w:val="23"/>
          <w:rtl w:val="1"/>
        </w:rPr>
        <w:t>در عین حال، همان تاریخِ حزب توده از برنامه‌هایی برای حقوق کار، حقوق سیاسی زنان و فعالیت اتحادیه‌ای حکایت دارد. [۷] وجود این مطالبات اجتماعی، نقدِ وابستگی سیاسی را بی‌موضوع نمی‌کند؛ بلکه پرسش را جدی‌تر می‌سازد: چگونه سازمانی با آرمان عدالت می‌تواند در تصمیم‌های مهم، اولویت را به یک دولت خارجی بدهد؟</w:t>
      </w:r>
    </w:p>
    <w:p>
      <w:pPr>
        <w:pStyle w:val="Heading1"/>
        <w:spacing w:before="280" w:after="160"/>
        <w:jc w:val="start"/>
        <w:keepNext/>
        <w:widowControl/>
        <w:bidi w:val="1"/>
      </w:pPr>
      <w:r>
        <w:rPr>
          <w:rFonts w:ascii="DejaVu Sans" w:hAnsi="DejaVu Sans" w:cs="DejaVu Sans"/>
          <w:b/>
          <w:i w:val="0"/>
          <w:color w:val="000000"/>
          <w:sz w:val="28"/>
          <w:szCs w:val="28"/>
          <w:rtl w:val="1"/>
          <w:bCs/>
        </w:rPr>
        <w:t>آنچه اسناد سال ۱۹۴۵ نشان می‌دهند</w:t>
      </w:r>
    </w:p>
    <w:p>
      <w:pPr>
        <w:jc w:val="start"/>
        <w:widowControl/>
        <w:bidi w:val="1"/>
      </w:pPr>
      <w:r>
        <w:rPr>
          <w:rFonts w:ascii="DejaVu Sans" w:hAnsi="DejaVu Sans" w:cs="DejaVu Sans"/>
          <w:b w:val="0"/>
          <w:i w:val="0"/>
          <w:color w:val="000000"/>
          <w:sz w:val="23"/>
          <w:szCs w:val="23"/>
          <w:rtl w:val="1"/>
        </w:rPr>
        <w:t>دستور محرمانهٔ ۶ ژوئیهٔ ۱۹۴۵ دفتر سیاسی حزب کمونیست شوروی خطاب به میرجعفر باقروف، از آماده‌سازیِ یک منطقهٔ خودمختار آذربایجان با اختیارات گسترده در چارچوب دولت ایران، و هم‌زمان گسترش حرکت‌های جدایی‌طلبانه در دیگر استان‌های شمالی سخن می‌گوید. سند، ایجاد فرقهٔ دموکرات، سازمان‌دهی تبلیغات و اختصاص منابع مالی را نیز در دستور کار قرار می‌دهد. نسخهٔ منتشرشدهٔ آن در مجموعهٔ اسناد پروژهٔ تاریخ بین‌المللی جنگ سرد، با منشأ آرشیوی در باکو و ترجمهٔ گری گلدبرگ معرفی شده است. [۸]</w:t>
      </w:r>
    </w:p>
    <w:p>
      <w:pPr>
        <w:jc w:val="start"/>
        <w:widowControl/>
        <w:bidi w:val="1"/>
      </w:pPr>
      <w:r>
        <w:rPr>
          <w:rFonts w:ascii="DejaVu Sans" w:hAnsi="DejaVu Sans" w:cs="DejaVu Sans"/>
          <w:b w:val="0"/>
          <w:i w:val="0"/>
          <w:color w:val="000000"/>
          <w:sz w:val="23"/>
          <w:szCs w:val="23"/>
          <w:rtl w:val="1"/>
        </w:rPr>
        <w:t>این سند را باید دقیق خواند: اشارهٔ آن به خودمختاری در چارچوب ایران را نمی‌توان حذف کرد و ادعا کرد تمام بندهایش فرمانِ الحاق فوری به شوروی است. با این حال، دخالتِ برنامه‌ریزی‌شدهٔ یک قدرت خارجی در سازمان‌دهی سیاسیِ داخل ایران، از متن آن آشکار است. این شاهد بسیار محکم‌تر از نسبت‌دادنِ یک سخنِ بی‌مأخذ به رهبران شوروی است.</w:t>
      </w:r>
    </w:p>
    <w:p>
      <w:pPr>
        <w:jc w:val="start"/>
        <w:widowControl/>
        <w:bidi w:val="1"/>
      </w:pPr>
      <w:r>
        <w:rPr>
          <w:rFonts w:ascii="DejaVu Sans" w:hAnsi="DejaVu Sans" w:cs="DejaVu Sans"/>
          <w:b w:val="0"/>
          <w:i w:val="0"/>
          <w:color w:val="000000"/>
          <w:sz w:val="23"/>
          <w:szCs w:val="23"/>
          <w:rtl w:val="1"/>
        </w:rPr>
        <w:t>استنباط من از این تجربه آن است که واژگانِ رهایی، عدالت و حقوق ملی می‌توانند هم بیانِ مطالبات واقعی مردم باشند و هم ابزارِ نفوذ دولت‌ها. شناختِ دخالت خارجی، مطالبات واقعیِ مردمِ یک منطقه را باطل نمی‌کند؛ همان‌طور که واقعی‌بودن آن مطالبات، دخالت خارجی را مشروع نمی‌سازد. باید هر دو را جداگانه بررسی کرد.</w:t>
      </w:r>
    </w:p>
    <w:p>
      <w:pPr>
        <w:pStyle w:val="Heading1"/>
        <w:spacing w:before="280" w:after="160"/>
        <w:jc w:val="start"/>
        <w:keepNext/>
        <w:widowControl/>
        <w:bidi w:val="1"/>
      </w:pPr>
      <w:r>
        <w:rPr>
          <w:rFonts w:ascii="DejaVu Sans" w:hAnsi="DejaVu Sans" w:cs="DejaVu Sans"/>
          <w:b/>
          <w:i w:val="0"/>
          <w:color w:val="000000"/>
          <w:sz w:val="28"/>
          <w:szCs w:val="28"/>
          <w:rtl w:val="1"/>
          <w:bCs/>
        </w:rPr>
        <w:t>چپ اردوگاهی و جایگزینی برچسب به جای استدلال</w:t>
      </w:r>
    </w:p>
    <w:p>
      <w:pPr>
        <w:jc w:val="start"/>
        <w:widowControl/>
        <w:bidi w:val="1"/>
      </w:pPr>
      <w:r>
        <w:rPr>
          <w:rFonts w:ascii="DejaVu Sans" w:hAnsi="DejaVu Sans" w:cs="DejaVu Sans"/>
          <w:b w:val="0"/>
          <w:i w:val="0"/>
          <w:color w:val="000000"/>
          <w:sz w:val="23"/>
          <w:szCs w:val="23"/>
          <w:rtl w:val="1"/>
        </w:rPr>
        <w:t>همهٔ چپ ایران را نمی‌توان پیرو شوروی دانست. پس از ۱۳۳۲، جریان‌های مارکسیستیِ مائوئیست، ضد استالینی و دیگر گرایش‌های مخالف خط حزب توده نیز شکل گرفتند. [۹] بنابراین نقدِ من متوجه «چپ اردوگاهی» است: گرایشی که ارزیابیِ آزادی، عدالت و استقلال را تابعِ جایگاه کشورها در رقابت میان بلوک‌های قدرت می‌کند.</w:t>
      </w:r>
    </w:p>
    <w:p>
      <w:pPr>
        <w:jc w:val="start"/>
        <w:widowControl/>
        <w:bidi w:val="1"/>
      </w:pPr>
      <w:r>
        <w:rPr>
          <w:rFonts w:ascii="DejaVu Sans" w:hAnsi="DejaVu Sans" w:cs="DejaVu Sans"/>
          <w:b w:val="0"/>
          <w:i w:val="0"/>
          <w:color w:val="000000"/>
          <w:sz w:val="23"/>
          <w:szCs w:val="23"/>
          <w:rtl w:val="1"/>
        </w:rPr>
        <w:t>در بحث‌هایی که به یاد دارم، اصطلاحاتی چون بورژوا، خرده‌بورژوا، دیالکتیک و ماتریالیسم تاریخی، گاه جای توضیحِ روشن و شاهد را می‌گرفتند. این واژه‌ها می‌توانند در پژوهش معنا و کاربرد داشته باشند؛ مشکل از جایی آغاز می‌شود که برچسبِ طبقاتیِ گوینده، پاسخِ استدلال او تلقی شود. دانستن چند اصطلاح، هیچ‌کس را از توضیحِ سازوکارِ اقتصاد یا پیامدهای سیاست معاف نمی‌کند.</w:t>
      </w:r>
    </w:p>
    <w:p>
      <w:pPr>
        <w:jc w:val="start"/>
        <w:widowControl/>
        <w:bidi w:val="1"/>
      </w:pPr>
      <w:r>
        <w:rPr>
          <w:rFonts w:ascii="DejaVu Sans" w:hAnsi="DejaVu Sans" w:cs="DejaVu Sans"/>
          <w:b w:val="0"/>
          <w:i w:val="0"/>
          <w:color w:val="000000"/>
          <w:sz w:val="23"/>
          <w:szCs w:val="23"/>
          <w:rtl w:val="1"/>
        </w:rPr>
        <w:t>همین احتیاط دربارهٔ توصیف اقتصاد شوروی نیز لازم است. «سرمایه‌داری دولتی» یک تفسیرِ نظری است، نه نامی که همهٔ منتقدان و پژوهشگران بر آن توافق داشته باشند. من این تعبیر را هنگامی مفید می‌دانم که پرسشِ اصلی را روشن کند: مالکیت دولتی تا چه اندازه به قدرت واقعیِ کارگران و پاسخ‌گوییِ مدیران تبدیل شده است؟ صرفِ دولتی‌بودنِ دارایی‌ها، برای اثباتِ حاکمیت مردم کفایت نمی‌کند.</w:t>
      </w:r>
    </w:p>
    <w:p>
      <w:pPr>
        <w:pStyle w:val="Heading1"/>
        <w:spacing w:before="280" w:after="160"/>
        <w:jc w:val="start"/>
        <w:keepNext/>
        <w:widowControl/>
        <w:bidi w:val="1"/>
      </w:pPr>
      <w:r>
        <w:rPr>
          <w:rFonts w:ascii="DejaVu Sans" w:hAnsi="DejaVu Sans" w:cs="DejaVu Sans"/>
          <w:b/>
          <w:i w:val="0"/>
          <w:color w:val="000000"/>
          <w:sz w:val="28"/>
          <w:szCs w:val="28"/>
          <w:rtl w:val="1"/>
          <w:bCs/>
        </w:rPr>
        <w:t>لنین و مسئلهٔ زبان روسی</w:t>
      </w:r>
    </w:p>
    <w:p>
      <w:pPr>
        <w:jc w:val="start"/>
        <w:widowControl/>
        <w:bidi w:val="1"/>
      </w:pPr>
      <w:r>
        <w:rPr>
          <w:rFonts w:ascii="DejaVu Sans" w:hAnsi="DejaVu Sans" w:cs="DejaVu Sans"/>
          <w:b w:val="0"/>
          <w:i w:val="0"/>
          <w:color w:val="000000"/>
          <w:sz w:val="23"/>
          <w:szCs w:val="23"/>
          <w:rtl w:val="1"/>
        </w:rPr>
        <w:t>در خاطرات من، بعضی هواداران حزب توده زبان روسی را همچون ریاضیات، منسجم و برتر از دیگر زبان‌ها معرفی می‌کردند و انگلیسی را با امپریالیسم یکی می‌گرفتند. این خاطره را نمی‌توان بدون نوشته یا مصوبهٔ مشخص، موضع رسمیِ همهٔ حزب دانست. ادعای «پیشرفته‌ترین زبان دنیا» نیز برای معتبرشدن به تعریفِ دقیقِ پیشرفت و معیارِ مقایسه نیاز دارد؛ تحسینِ یک زبان، به‌تنهایی چنین برتری‌ای را ثابت نمی‌کند.</w:t>
      </w:r>
    </w:p>
    <w:p>
      <w:pPr>
        <w:jc w:val="start"/>
        <w:widowControl/>
        <w:bidi w:val="1"/>
      </w:pPr>
      <w:r>
        <w:rPr>
          <w:rFonts w:ascii="DejaVu Sans" w:hAnsi="DejaVu Sans" w:cs="DejaVu Sans"/>
          <w:b w:val="0"/>
          <w:i w:val="0"/>
          <w:color w:val="000000"/>
          <w:sz w:val="23"/>
          <w:szCs w:val="23"/>
          <w:rtl w:val="1"/>
        </w:rPr>
        <w:t>اما حکایتی که می‌گوید لنین زبان آیندهٔ طبقهٔ کارگر را روسی اعلام کرده، زیرا انقلاب را روس‌ها انجام داده‌اند، نباید به‌عنوان نقل‌قولِ مستند تکرار شود. موضعِ مکتوب او در مقالهٔ «آیا زبان رسمی اجباری لازم است؟»، منتشرشده در ۱۸ ژانویهٔ ۱۹۱۴، مخالفت با تحمیلِ زبان روسی است. لنین از امکانِ یادگیری روسی حمایت می‌کند، اما اجبار را موجبِ تشدیدِ خصومت و تبعیض می‌داند و خواهان آموزش به زبان‌های محلی است. [۱۰]</w:t>
      </w:r>
    </w:p>
    <w:p>
      <w:pPr>
        <w:jc w:val="start"/>
        <w:widowControl/>
        <w:bidi w:val="1"/>
      </w:pPr>
      <w:r>
        <w:rPr>
          <w:rFonts w:ascii="DejaVu Sans" w:hAnsi="DejaVu Sans" w:cs="DejaVu Sans"/>
          <w:b w:val="0"/>
          <w:i w:val="0"/>
          <w:color w:val="000000"/>
          <w:sz w:val="23"/>
          <w:szCs w:val="23"/>
          <w:rtl w:val="1"/>
        </w:rPr>
        <w:t>این متن، عملکردِ همهٔ دوره‌های شوروی را تبرئه نمی‌کند. در ۱۳ مارس ۱۹۳۸، در دورهٔ استالین، مصوبهٔ آموزش اجباری روسی در مدارس جمهوری‌ها و مناطق ملی تصویب شد. اجباری‌شدنِ روسی به‌عنوان یک درس را باید از تبدیلِ آن به تنها زبانِ تدریس تفکیک کرد؛ این دو سیاست یکی نیستند. [۱۱] نقدِ تاریخیِ معتبر، فاصلهٔ میان موضعِ اولیه و سیاست‌های بعدی را نشان می‌دهد.</w:t>
      </w:r>
    </w:p>
    <w:p>
      <w:pPr>
        <w:jc w:val="start"/>
        <w:widowControl/>
        <w:bidi w:val="1"/>
      </w:pPr>
      <w:r>
        <w:rPr>
          <w:rFonts w:ascii="DejaVu Sans" w:hAnsi="DejaVu Sans" w:cs="DejaVu Sans"/>
          <w:b w:val="0"/>
          <w:i w:val="0"/>
          <w:color w:val="000000"/>
          <w:sz w:val="23"/>
          <w:szCs w:val="23"/>
          <w:rtl w:val="1"/>
        </w:rPr>
        <w:t>حتی استالین در نوشتهٔ «مارکسیسم و مسائل زبان‌شناسی» در سال ۱۹۵۰، نظریهٔ زبانِ ذاتاً طبقاتی را رد کرد و زبان را وسیلهٔ ارتباطِ همهٔ اعضای جامعه دانست. [۱۲] بنابراین، برابرگرفتنِ خودِ زبان انگلیسی با بورژوازی، حتی بازتابِ یکدستِ موضع رسمی شوروی نیز نبود. می‌توان سیاست خارجیِ یک دولت را نقد کرد و هم‌زمان زبان مردم آن کشور را آموخت.</w:t>
      </w:r>
    </w:p>
    <w:p>
      <w:pPr>
        <w:pStyle w:val="Heading1"/>
        <w:spacing w:before="280" w:after="160"/>
        <w:jc w:val="start"/>
        <w:keepNext/>
        <w:widowControl/>
        <w:bidi w:val="1"/>
      </w:pPr>
      <w:r>
        <w:rPr>
          <w:rFonts w:ascii="DejaVu Sans" w:hAnsi="DejaVu Sans" w:cs="DejaVu Sans"/>
          <w:b/>
          <w:i w:val="0"/>
          <w:color w:val="000000"/>
          <w:sz w:val="28"/>
          <w:szCs w:val="28"/>
          <w:rtl w:val="1"/>
          <w:bCs/>
        </w:rPr>
        <w:t>از حمایت انقلاب تا سرکوب حامیان</w:t>
      </w:r>
    </w:p>
    <w:p>
      <w:pPr>
        <w:jc w:val="start"/>
        <w:widowControl/>
        <w:bidi w:val="1"/>
      </w:pPr>
      <w:r>
        <w:rPr>
          <w:rFonts w:ascii="DejaVu Sans" w:hAnsi="DejaVu Sans" w:cs="DejaVu Sans"/>
          <w:b w:val="0"/>
          <w:i w:val="0"/>
          <w:color w:val="000000"/>
          <w:sz w:val="23"/>
          <w:szCs w:val="23"/>
          <w:rtl w:val="1"/>
        </w:rPr>
        <w:t>در ژانویهٔ ۱۹۷۹، رهبری حزب توده حمایت خود از انقلاب و خمینی را اعلام کرد. این حمایت پس از پیروزی انقلاب نیز ادامه یافت و به همکاری سیاسی و امنیتی با حکومت رسید. سرانجام خودِ حزب نیز در سال ۱۳۶۲ هدف بازداشتِ رهبران و سرکوب قرار گرفت. [۹] این تجربه برای من نمونه‌ای از هزینهٔ نادیده‌گرفتن آزادی سیاسی به نامِ اولویت‌های ایدئولوژیک است.</w:t>
      </w:r>
    </w:p>
    <w:p>
      <w:pPr>
        <w:jc w:val="start"/>
        <w:widowControl/>
        <w:bidi w:val="1"/>
      </w:pPr>
      <w:r>
        <w:rPr>
          <w:rFonts w:ascii="DejaVu Sans" w:hAnsi="DejaVu Sans" w:cs="DejaVu Sans"/>
          <w:b w:val="0"/>
          <w:i w:val="0"/>
          <w:color w:val="000000"/>
          <w:sz w:val="23"/>
          <w:szCs w:val="23"/>
          <w:rtl w:val="1"/>
        </w:rPr>
        <w:t>نقدِ این تصمیم‌ها، حقی برای توجیهِ شکنجه، اعدام یا محروم‌کردنِ اعضای حزب از حقوق شهروندی ایجاد نمی‌کند. حتی سیاستمداری که در تحلیل خود خطا کرده است، باید از دادرسی عادلانه و آزادیِ بیان برخوردار باشد. اگر برای مخالف خود همین حقوق را نخواهیم، نقدِ استبداد نیز به ابزاری برای حذف رقیب تبدیل می‌شود.</w:t>
      </w:r>
    </w:p>
    <w:p>
      <w:pPr>
        <w:jc w:val="start"/>
        <w:widowControl/>
        <w:bidi w:val="1"/>
      </w:pPr>
      <w:r>
        <w:rPr>
          <w:rFonts w:ascii="DejaVu Sans" w:hAnsi="DejaVu Sans" w:cs="DejaVu Sans"/>
          <w:b w:val="0"/>
          <w:i w:val="0"/>
          <w:color w:val="000000"/>
          <w:sz w:val="23"/>
          <w:szCs w:val="23"/>
          <w:rtl w:val="1"/>
        </w:rPr>
        <w:t>به باور من، معنای ماندگارِ آن طنزِ منسوب به بنی‌صدر در هشدار به از‌دست‌دادنِ اختیارِ سیاسی است. همکاری با جهان و دفاع از حقوق انسان‌ها زمانی ارزشمند است که حقِ مردم ایران برای تصمیم‌گیری دربارهٔ آیندهٔ خود محفوظ بماند. معیارِ من باید اثرِ سیاست بر زندگی، آزادی و امنیتِ شهروندان باشد؛ و هر دولت خارجی نیز با همین معیار سنجیده شود. ایران نباید هزینهٔ وفاداریِ بی‌چون‌وچرا به هیچ پایتختی را بپردازد.</w:t>
      </w:r>
    </w:p>
    <w:p>
      <w:r>
        <w:br w:type="page"/>
      </w:r>
    </w:p>
    <w:p>
      <w:pPr>
        <w:pStyle w:val="Heading1"/>
        <w:spacing w:before="280" w:after="160"/>
        <w:jc w:val="start"/>
        <w:keepNext/>
        <w:widowControl/>
        <w:bidi w:val="1"/>
      </w:pPr>
      <w:r>
        <w:rPr>
          <w:rFonts w:ascii="DejaVu Sans" w:hAnsi="DejaVu Sans" w:cs="DejaVu Sans"/>
          <w:b/>
          <w:i w:val="0"/>
          <w:color w:val="000000"/>
          <w:sz w:val="28"/>
          <w:szCs w:val="28"/>
          <w:rtl w:val="1"/>
          <w:bCs/>
        </w:rPr>
        <w:t>منابع و اسناد</w:t>
      </w:r>
    </w:p>
    <w:p>
      <w:pPr>
        <w:jc w:val="start"/>
        <w:widowControl/>
        <w:bidi w:val="1"/>
      </w:pPr>
      <w:r>
        <w:rPr>
          <w:rFonts w:ascii="DejaVu Sans" w:hAnsi="DejaVu Sans" w:cs="DejaVu Sans"/>
          <w:b w:val="0"/>
          <w:i w:val="0"/>
          <w:color w:val="000000"/>
          <w:sz w:val="20"/>
          <w:szCs w:val="20"/>
          <w:rtl w:val="1"/>
        </w:rPr>
        <w:t>شماره‌های داخل متن به منابع زیر ارجاع دارند. نقل مضمونِ اسناد از تفسیر و خاطرات نویسنده تفکیک شده است. تاریخ مراجعه به منابع برخط ۲۸ سپتامبر ۲۰۲۶ است.</w:t>
      </w:r>
    </w:p>
    <w:p>
      <w:pPr>
        <w:spacing w:after="40"/>
        <w:jc w:val="left"/>
        <w:keepNext/>
        <w:widowControl/>
      </w:pPr>
      <w:r>
        <w:rPr>
          <w:rFonts w:ascii="DejaVu Sans" w:hAnsi="DejaVu Sans" w:cs="DejaVu Sans"/>
          <w:b w:val="0"/>
          <w:i w:val="0"/>
          <w:color w:val="000000"/>
          <w:sz w:val="19"/>
          <w:szCs w:val="19"/>
        </w:rPr>
        <w:t>[۱] The Guardian. Abolhassan Banisadr obituary. 11 October 2021.</w:t>
      </w:r>
    </w:p>
    <w:p>
      <w:pPr>
        <w:spacing w:after="40"/>
        <w:jc w:val="start"/>
        <w:keepNext/>
        <w:widowControl/>
        <w:bidi w:val="1"/>
      </w:pPr>
      <w:r>
        <w:rPr>
          <w:rFonts w:ascii="DejaVu Sans" w:hAnsi="DejaVu Sans" w:cs="DejaVu Sans"/>
          <w:b w:val="0"/>
          <w:i w:val="0"/>
          <w:color w:val="000000"/>
          <w:sz w:val="19"/>
          <w:szCs w:val="19"/>
          <w:rtl w:val="1"/>
        </w:rPr>
        <w:t>برای پیشینهٔ فکری و وابستگیِ اولیه به جبههٔ ملی.</w:t>
      </w:r>
    </w:p>
    <w:p>
      <w:pPr>
        <w:spacing w:after="220"/>
        <w:jc w:val="left"/>
      </w:pPr>
      <w:hyperlink r:id="rId10">
        <w:r>
          <w:rPr>
            <w:sz w:val="18"/>
            <w:color w:val="17486F"/>
          </w:rPr>
          <w:t>https://www.theguardian.com/world/2021/oct/11/abolhassan-banisadr-obituary</w:t>
        </w:r>
      </w:hyperlink>
    </w:p>
    <w:p>
      <w:pPr>
        <w:spacing w:after="40"/>
        <w:jc w:val="left"/>
        <w:keepNext/>
        <w:widowControl/>
      </w:pPr>
      <w:r>
        <w:rPr>
          <w:rFonts w:ascii="DejaVu Sans" w:hAnsi="DejaVu Sans" w:cs="DejaVu Sans"/>
          <w:b w:val="0"/>
          <w:i w:val="0"/>
          <w:color w:val="000000"/>
          <w:sz w:val="19"/>
          <w:szCs w:val="19"/>
        </w:rPr>
        <w:t>[۲] Syracuse University, Iran Data Portal. The Freedom Movement of Iran.</w:t>
      </w:r>
    </w:p>
    <w:p>
      <w:pPr>
        <w:spacing w:after="40"/>
        <w:jc w:val="start"/>
        <w:keepNext/>
        <w:widowControl/>
        <w:bidi w:val="1"/>
      </w:pPr>
      <w:r>
        <w:rPr>
          <w:rFonts w:ascii="DejaVu Sans" w:hAnsi="DejaVu Sans" w:cs="DejaVu Sans"/>
          <w:b w:val="0"/>
          <w:i w:val="0"/>
          <w:color w:val="000000"/>
          <w:sz w:val="19"/>
          <w:szCs w:val="19"/>
          <w:rtl w:val="1"/>
        </w:rPr>
        <w:t>برای بنیان‌گذاران، همراهی با انقلاب و اختلاف‌های دولت بازرگان با نهادهای انقلابی.</w:t>
      </w:r>
    </w:p>
    <w:p>
      <w:pPr>
        <w:spacing w:after="220"/>
        <w:jc w:val="left"/>
      </w:pPr>
      <w:hyperlink r:id="rId11">
        <w:r>
          <w:rPr>
            <w:sz w:val="18"/>
            <w:color w:val="17486F"/>
          </w:rPr>
          <w:t>https://irandataportal.syr.edu/the-freedom-movement-of-iran/</w:t>
        </w:r>
      </w:hyperlink>
    </w:p>
    <w:p>
      <w:pPr>
        <w:spacing w:after="40"/>
        <w:jc w:val="left"/>
        <w:keepNext/>
        <w:widowControl/>
      </w:pPr>
      <w:r>
        <w:rPr>
          <w:rFonts w:ascii="DejaVu Sans" w:hAnsi="DejaVu Sans" w:cs="DejaVu Sans"/>
          <w:b w:val="0"/>
          <w:i w:val="0"/>
          <w:color w:val="000000"/>
          <w:sz w:val="19"/>
          <w:szCs w:val="19"/>
        </w:rPr>
        <w:t>[۳] Encyclopaedia Iranica. Iranian Identity iv. 19th–20th Centuries.</w:t>
      </w:r>
    </w:p>
    <w:p>
      <w:pPr>
        <w:spacing w:after="40"/>
        <w:jc w:val="start"/>
        <w:keepNext/>
        <w:widowControl/>
        <w:bidi w:val="1"/>
      </w:pPr>
      <w:r>
        <w:rPr>
          <w:rFonts w:ascii="DejaVu Sans" w:hAnsi="DejaVu Sans" w:cs="DejaVu Sans"/>
          <w:b w:val="0"/>
          <w:i w:val="0"/>
          <w:color w:val="000000"/>
          <w:sz w:val="19"/>
          <w:szCs w:val="19"/>
          <w:rtl w:val="1"/>
        </w:rPr>
        <w:t>برای تنوعِ گرایش‌های جبههٔ ملی.</w:t>
      </w:r>
    </w:p>
    <w:p>
      <w:pPr>
        <w:spacing w:after="220"/>
        <w:jc w:val="left"/>
      </w:pPr>
      <w:hyperlink r:id="rId12">
        <w:r>
          <w:rPr>
            <w:sz w:val="18"/>
            <w:color w:val="17486F"/>
          </w:rPr>
          <w:t>https://www.iranicaonline.org/articles/iranian-identity-iv-19th-20th-centuries/</w:t>
        </w:r>
      </w:hyperlink>
    </w:p>
    <w:p>
      <w:pPr>
        <w:spacing w:after="40"/>
        <w:jc w:val="left"/>
        <w:keepNext/>
        <w:widowControl/>
      </w:pPr>
      <w:r>
        <w:rPr>
          <w:rFonts w:ascii="DejaVu Sans" w:hAnsi="DejaVu Sans" w:cs="DejaVu Sans"/>
          <w:b w:val="0"/>
          <w:i w:val="0"/>
          <w:color w:val="000000"/>
          <w:sz w:val="19"/>
          <w:szCs w:val="19"/>
        </w:rPr>
        <w:t>[۴] PBS FRONTLINE, Tehran Bureau. 79/11, Tehran or Tunis, Part 3: The Abandonment of Democratic Principles. 2012.</w:t>
      </w:r>
    </w:p>
    <w:p>
      <w:pPr>
        <w:spacing w:after="40"/>
        <w:jc w:val="start"/>
        <w:keepNext/>
        <w:widowControl/>
        <w:bidi w:val="1"/>
      </w:pPr>
      <w:r>
        <w:rPr>
          <w:rFonts w:ascii="DejaVu Sans" w:hAnsi="DejaVu Sans" w:cs="DejaVu Sans"/>
          <w:b w:val="0"/>
          <w:i w:val="0"/>
          <w:color w:val="000000"/>
          <w:sz w:val="19"/>
          <w:szCs w:val="19"/>
          <w:rtl w:val="1"/>
        </w:rPr>
        <w:t>برای اعلامیهٔ سنجابی در نوامبر ۱۹۷۸؛ این منبع خود متنی تحلیلی و انتقادی است.</w:t>
      </w:r>
    </w:p>
    <w:p>
      <w:pPr>
        <w:spacing w:after="220"/>
        <w:jc w:val="left"/>
      </w:pPr>
      <w:hyperlink r:id="rId13">
        <w:r>
          <w:rPr>
            <w:sz w:val="18"/>
            <w:color w:val="17486F"/>
          </w:rPr>
          <w:t>https://cgi.pbs.org/wgbh/pages/frontline/tehranbureau/2012/10/7911-tehran-or-tunis-part-3-the-abandonment-of-democratic-principles.html</w:t>
        </w:r>
      </w:hyperlink>
    </w:p>
    <w:p>
      <w:pPr>
        <w:spacing w:after="40"/>
        <w:jc w:val="left"/>
        <w:keepNext/>
        <w:widowControl/>
      </w:pPr>
      <w:r>
        <w:rPr>
          <w:rFonts w:ascii="DejaVu Sans" w:hAnsi="DejaVu Sans" w:cs="DejaVu Sans"/>
          <w:b w:val="0"/>
          <w:i w:val="0"/>
          <w:color w:val="000000"/>
          <w:sz w:val="19"/>
          <w:szCs w:val="19"/>
        </w:rPr>
        <w:t>[۵] Encyclopaedia Iranica. Iran ii. Iranian History (2), Islamic Period, page 6.</w:t>
      </w:r>
    </w:p>
    <w:p>
      <w:pPr>
        <w:spacing w:after="40"/>
        <w:jc w:val="start"/>
        <w:keepNext/>
        <w:widowControl/>
        <w:bidi w:val="1"/>
      </w:pPr>
      <w:r>
        <w:rPr>
          <w:rFonts w:ascii="DejaVu Sans" w:hAnsi="DejaVu Sans" w:cs="DejaVu Sans"/>
          <w:b w:val="0"/>
          <w:i w:val="0"/>
          <w:color w:val="000000"/>
          <w:sz w:val="19"/>
          <w:szCs w:val="19"/>
          <w:rtl w:val="1"/>
        </w:rPr>
        <w:t>برای نخست‌وزیری بختیار و خروج شاه در ژانویهٔ ۱۹۷۹.</w:t>
      </w:r>
    </w:p>
    <w:p>
      <w:pPr>
        <w:spacing w:after="220"/>
        <w:jc w:val="left"/>
      </w:pPr>
      <w:hyperlink r:id="rId14">
        <w:r>
          <w:rPr>
            <w:sz w:val="18"/>
            <w:color w:val="17486F"/>
          </w:rPr>
          <w:t>https://www.iranicaonline.org/articles/iran-ii2-islamic-period-page-6/</w:t>
        </w:r>
      </w:hyperlink>
    </w:p>
    <w:p>
      <w:pPr>
        <w:spacing w:after="40"/>
        <w:jc w:val="left"/>
        <w:keepNext/>
        <w:widowControl/>
      </w:pPr>
      <w:r>
        <w:rPr>
          <w:rFonts w:ascii="DejaVu Sans" w:hAnsi="DejaVu Sans" w:cs="DejaVu Sans"/>
          <w:b w:val="0"/>
          <w:i w:val="0"/>
          <w:color w:val="000000"/>
          <w:sz w:val="19"/>
          <w:szCs w:val="19"/>
        </w:rPr>
        <w:t>[۶] Hamid Algar. Khomeini i. Life. Encyclopaedia Iranica. 2020.</w:t>
      </w:r>
    </w:p>
    <w:p>
      <w:pPr>
        <w:spacing w:after="40"/>
        <w:jc w:val="start"/>
        <w:keepNext/>
        <w:widowControl/>
        <w:bidi w:val="1"/>
      </w:pPr>
      <w:r>
        <w:rPr>
          <w:rFonts w:ascii="DejaVu Sans" w:hAnsi="DejaVu Sans" w:cs="DejaVu Sans"/>
          <w:b w:val="0"/>
          <w:i w:val="0"/>
          <w:color w:val="000000"/>
          <w:sz w:val="19"/>
          <w:szCs w:val="19"/>
          <w:rtl w:val="1"/>
        </w:rPr>
        <w:t>برای حلقهٔ همراهان خمینی در فرانسه؛ شرح رویداد از ارزیابی سیاسیِ نویسندهٔ مقاله جداست.</w:t>
      </w:r>
    </w:p>
    <w:p>
      <w:pPr>
        <w:spacing w:after="220"/>
        <w:jc w:val="left"/>
      </w:pPr>
      <w:hyperlink r:id="rId15">
        <w:r>
          <w:rPr>
            <w:sz w:val="18"/>
            <w:color w:val="17486F"/>
          </w:rPr>
          <w:t>https://www.iranicaonline.org/articles/khomeini-i-life/</w:t>
        </w:r>
      </w:hyperlink>
    </w:p>
    <w:p>
      <w:pPr>
        <w:spacing w:after="40"/>
        <w:jc w:val="left"/>
        <w:keepNext/>
        <w:widowControl/>
      </w:pPr>
      <w:r>
        <w:rPr>
          <w:rFonts w:ascii="DejaVu Sans" w:hAnsi="DejaVu Sans" w:cs="DejaVu Sans"/>
          <w:b w:val="0"/>
          <w:i w:val="0"/>
          <w:color w:val="000000"/>
          <w:sz w:val="19"/>
          <w:szCs w:val="19"/>
        </w:rPr>
        <w:t>[۷] Sepehr Zabih. Communism ii. In Persia from 1941 to 1953. Encyclopaedia Iranica, VI/1, pp. 102–105. 1992.</w:t>
      </w:r>
    </w:p>
    <w:p>
      <w:pPr>
        <w:spacing w:after="40"/>
        <w:jc w:val="start"/>
        <w:keepNext/>
        <w:widowControl/>
        <w:bidi w:val="1"/>
      </w:pPr>
      <w:r>
        <w:rPr>
          <w:rFonts w:ascii="DejaVu Sans" w:hAnsi="DejaVu Sans" w:cs="DejaVu Sans"/>
          <w:b w:val="0"/>
          <w:i w:val="0"/>
          <w:color w:val="000000"/>
          <w:sz w:val="19"/>
          <w:szCs w:val="19"/>
          <w:rtl w:val="1"/>
        </w:rPr>
        <w:t>برای حمایت از امتیاز نفت شوروی در اکتبر ۱۹۴۴ و برنامه‌های اجتماعی حزب توده.</w:t>
      </w:r>
    </w:p>
    <w:p>
      <w:pPr>
        <w:spacing w:after="220"/>
        <w:jc w:val="left"/>
      </w:pPr>
      <w:hyperlink r:id="rId16">
        <w:r>
          <w:rPr>
            <w:sz w:val="18"/>
            <w:color w:val="17486F"/>
          </w:rPr>
          <w:t>https://www.iranicaonline.org/articles/communism-ii/</w:t>
        </w:r>
      </w:hyperlink>
    </w:p>
    <w:p>
      <w:pPr>
        <w:spacing w:after="40"/>
        <w:jc w:val="left"/>
        <w:keepNext/>
        <w:widowControl/>
      </w:pPr>
      <w:r>
        <w:rPr>
          <w:rFonts w:ascii="DejaVu Sans" w:hAnsi="DejaVu Sans" w:cs="DejaVu Sans"/>
          <w:b w:val="0"/>
          <w:i w:val="0"/>
          <w:color w:val="000000"/>
          <w:sz w:val="19"/>
          <w:szCs w:val="19"/>
        </w:rPr>
        <w:t>[۸] CC VKP(b) Politburo. Decree to Mir Bagirov on Measures to Organize a Separatist Movement in Southern Azerbaijan and Other Provinces of Northern Iran. 6 July 1945.</w:t>
      </w:r>
    </w:p>
    <w:p>
      <w:pPr>
        <w:spacing w:after="40"/>
        <w:jc w:val="start"/>
        <w:keepNext/>
        <w:widowControl/>
        <w:bidi w:val="1"/>
      </w:pPr>
      <w:r>
        <w:rPr>
          <w:rFonts w:ascii="DejaVu Sans" w:hAnsi="DejaVu Sans" w:cs="DejaVu Sans"/>
          <w:b w:val="0"/>
          <w:i w:val="0"/>
          <w:color w:val="000000"/>
          <w:sz w:val="19"/>
          <w:szCs w:val="19"/>
          <w:rtl w:val="1"/>
        </w:rPr>
        <w:t>سند اولیه؛ منتشرشده در CWIHP Bulletin، شمارهٔ ۱۲/۱۳، صص ۳۱۱–۳۱۲؛ ترجمهٔ گری گلدبرگ، ارائه‌شده توسط جمیل حسنلی. نشانی بالا بازنشرِ متن انگلیسیِ مجموعه است. شناسهٔ آرشیوی: GAPPOD AzR, f. 1, op. 89, d. 90, ll. 4–5.</w:t>
      </w:r>
    </w:p>
    <w:p>
      <w:pPr>
        <w:spacing w:after="220"/>
        <w:jc w:val="left"/>
      </w:pPr>
      <w:hyperlink r:id="rId17">
        <w:r>
          <w:rPr>
            <w:sz w:val="18"/>
            <w:color w:val="17486F"/>
          </w:rPr>
          <w:t>https://www.azargoshnasp.net/recent_history/atoor/sanadtaazehdekhalatashkaar.htm</w:t>
        </w:r>
      </w:hyperlink>
    </w:p>
    <w:p>
      <w:pPr>
        <w:spacing w:after="40"/>
        <w:jc w:val="left"/>
        <w:keepNext/>
        <w:widowControl/>
      </w:pPr>
      <w:r>
        <w:rPr>
          <w:rFonts w:ascii="DejaVu Sans" w:hAnsi="DejaVu Sans" w:cs="DejaVu Sans"/>
          <w:b w:val="0"/>
          <w:i w:val="0"/>
          <w:color w:val="000000"/>
          <w:sz w:val="19"/>
          <w:szCs w:val="19"/>
        </w:rPr>
        <w:t>[۹] Torab Haghshenas. Communism iii. In Persia after 1953. Encyclopaedia Iranica, VI/1, pp. 105–112. 1992.</w:t>
      </w:r>
    </w:p>
    <w:p>
      <w:pPr>
        <w:spacing w:after="40"/>
        <w:jc w:val="start"/>
        <w:keepNext/>
        <w:widowControl/>
        <w:bidi w:val="1"/>
      </w:pPr>
      <w:r>
        <w:rPr>
          <w:rFonts w:ascii="DejaVu Sans" w:hAnsi="DejaVu Sans" w:cs="DejaVu Sans"/>
          <w:b w:val="0"/>
          <w:i w:val="0"/>
          <w:color w:val="000000"/>
          <w:sz w:val="19"/>
          <w:szCs w:val="19"/>
          <w:rtl w:val="1"/>
        </w:rPr>
        <w:t>برای تنوع چپ ایران، مواضع حزب توده پس از انقلاب و سرکوب آن.</w:t>
      </w:r>
    </w:p>
    <w:p>
      <w:pPr>
        <w:spacing w:after="220"/>
        <w:jc w:val="left"/>
      </w:pPr>
      <w:hyperlink r:id="rId18">
        <w:r>
          <w:rPr>
            <w:sz w:val="18"/>
            <w:color w:val="17486F"/>
          </w:rPr>
          <w:t>https://www.iranicaonline.org/articles/communism-iii/</w:t>
        </w:r>
      </w:hyperlink>
    </w:p>
    <w:p>
      <w:pPr>
        <w:spacing w:after="40"/>
        <w:jc w:val="left"/>
        <w:keepNext/>
        <w:widowControl/>
      </w:pPr>
      <w:r>
        <w:rPr>
          <w:rFonts w:ascii="DejaVu Sans" w:hAnsi="DejaVu Sans" w:cs="DejaVu Sans"/>
          <w:b w:val="0"/>
          <w:i w:val="0"/>
          <w:color w:val="000000"/>
          <w:sz w:val="19"/>
          <w:szCs w:val="19"/>
        </w:rPr>
        <w:t>[۱۰] V. I. Lenin. Is a Compulsory Official Language Needed? 18 January 1914. Collected Works, vol. 20, pp. 71–73.</w:t>
      </w:r>
    </w:p>
    <w:p>
      <w:pPr>
        <w:spacing w:after="40"/>
        <w:jc w:val="start"/>
        <w:keepNext/>
        <w:widowControl/>
        <w:bidi w:val="1"/>
      </w:pPr>
      <w:r>
        <w:rPr>
          <w:rFonts w:ascii="DejaVu Sans" w:hAnsi="DejaVu Sans" w:cs="DejaVu Sans"/>
          <w:b w:val="0"/>
          <w:i w:val="0"/>
          <w:color w:val="000000"/>
          <w:sz w:val="19"/>
          <w:szCs w:val="19"/>
          <w:rtl w:val="1"/>
        </w:rPr>
        <w:t>سند اولیه؛ مخالفت صریح با اجبارِ زبان روسی.</w:t>
      </w:r>
    </w:p>
    <w:p>
      <w:pPr>
        <w:spacing w:after="220"/>
        <w:jc w:val="left"/>
      </w:pPr>
      <w:hyperlink r:id="rId19">
        <w:r>
          <w:rPr>
            <w:sz w:val="18"/>
            <w:color w:val="17486F"/>
          </w:rPr>
          <w:t>https://www.marxists.org/archive/lenin/works/1914/jan/18.htm</w:t>
        </w:r>
      </w:hyperlink>
    </w:p>
    <w:p>
      <w:pPr>
        <w:spacing w:after="40"/>
        <w:jc w:val="left"/>
        <w:keepNext/>
        <w:widowControl/>
      </w:pPr>
      <w:r>
        <w:rPr>
          <w:rFonts w:ascii="DejaVu Sans" w:hAnsi="DejaVu Sans" w:cs="DejaVu Sans"/>
          <w:b w:val="0"/>
          <w:i w:val="0"/>
          <w:color w:val="000000"/>
          <w:sz w:val="19"/>
          <w:szCs w:val="19"/>
        </w:rPr>
        <w:t>[۱۱] Formation and Development of School Education of the Autonomies of the Middle Volga Region, 1920–1930s. RUDN Journal of Russian History.</w:t>
      </w:r>
    </w:p>
    <w:p>
      <w:pPr>
        <w:spacing w:after="40"/>
        <w:jc w:val="start"/>
        <w:keepNext/>
        <w:widowControl/>
        <w:bidi w:val="1"/>
      </w:pPr>
      <w:r>
        <w:rPr>
          <w:rFonts w:ascii="DejaVu Sans" w:hAnsi="DejaVu Sans" w:cs="DejaVu Sans"/>
          <w:b w:val="0"/>
          <w:i w:val="0"/>
          <w:color w:val="000000"/>
          <w:sz w:val="19"/>
          <w:szCs w:val="19"/>
          <w:rtl w:val="1"/>
        </w:rPr>
        <w:t>پژوهش تاریخی دربارهٔ آموزش؛ رجوع به بحث مصوبهٔ ۱۳ مارس ۱۹۳۸ و تفاوتِ زبانِ درسی با زبانِ تدریس.</w:t>
      </w:r>
    </w:p>
    <w:p>
      <w:pPr>
        <w:spacing w:after="220"/>
        <w:jc w:val="left"/>
      </w:pPr>
      <w:hyperlink r:id="rId20">
        <w:r>
          <w:rPr>
            <w:sz w:val="18"/>
            <w:color w:val="17486F"/>
          </w:rPr>
          <w:t>https://journals.rudn.ru/russian-history/article/view/32794</w:t>
        </w:r>
      </w:hyperlink>
    </w:p>
    <w:p>
      <w:pPr>
        <w:spacing w:after="40"/>
        <w:jc w:val="left"/>
        <w:keepNext/>
        <w:widowControl/>
      </w:pPr>
      <w:r>
        <w:rPr>
          <w:rFonts w:ascii="DejaVu Sans" w:hAnsi="DejaVu Sans" w:cs="DejaVu Sans"/>
          <w:b w:val="0"/>
          <w:i w:val="0"/>
          <w:color w:val="000000"/>
          <w:sz w:val="19"/>
          <w:szCs w:val="19"/>
        </w:rPr>
        <w:t>[۱۲] J. V. Stalin. Marxism and Problems of Linguistics. Pravda, 20 June 1950, with subsequent replies.</w:t>
      </w:r>
    </w:p>
    <w:p>
      <w:pPr>
        <w:spacing w:after="40"/>
        <w:jc w:val="start"/>
        <w:keepNext/>
        <w:widowControl/>
        <w:bidi w:val="1"/>
      </w:pPr>
      <w:r>
        <w:rPr>
          <w:rFonts w:ascii="DejaVu Sans" w:hAnsi="DejaVu Sans" w:cs="DejaVu Sans"/>
          <w:b w:val="0"/>
          <w:i w:val="0"/>
          <w:color w:val="000000"/>
          <w:sz w:val="19"/>
          <w:szCs w:val="19"/>
          <w:rtl w:val="1"/>
        </w:rPr>
        <w:t>سند اولیه؛ به‌ویژه پاسخ دربارهٔ زبانِ طبقاتی و زبانِ مشترکِ جامعه.</w:t>
      </w:r>
    </w:p>
    <w:p>
      <w:pPr>
        <w:spacing w:after="220"/>
        <w:jc w:val="left"/>
      </w:pPr>
      <w:hyperlink r:id="rId21">
        <w:r>
          <w:rPr>
            <w:sz w:val="18"/>
            <w:color w:val="17486F"/>
          </w:rPr>
          <w:t>https://www.marxists.org/reference/archive/stalin/works/1950/06/20.HTM</w:t>
        </w:r>
      </w:hyperlink>
    </w:p>
    <w:sectPr w:rsidR="00FC693F" w:rsidRPr="0006063C" w:rsidSect="00034616">
      <w:footerReference w:type="default" r:id="rId22"/>
      <w:pgSz w:w="12240" w:h="15840"/>
      <w:pgMar w:top="1037"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cs="DejaVu Sans"/>
        <w:b w:val="0"/>
        <w:i w:val="0"/>
        <w:color w:val="000000"/>
        <w:sz w:val="18"/>
        <w:szCs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8" w:lineRule="auto"/>
    </w:pPr>
    <w:rPr>
      <w:rFonts w:ascii="DejaVu Sans" w:hAnsi="DejaVu Sans"/>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DejaVu Sans" w:hAnsi="DejaVu San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DejaVu Sans" w:hAnsi="DejaVu Sans"/>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theguardian.com/world/2021/oct/11/abolhassan-banisadr-obituary" TargetMode="External"/><Relationship Id="rId11" Type="http://schemas.openxmlformats.org/officeDocument/2006/relationships/hyperlink" Target="https://irandataportal.syr.edu/the-freedom-movement-of-iran/" TargetMode="External"/><Relationship Id="rId12" Type="http://schemas.openxmlformats.org/officeDocument/2006/relationships/hyperlink" Target="https://www.iranicaonline.org/articles/iranian-identity-iv-19th-20th-centuries/" TargetMode="External"/><Relationship Id="rId13" Type="http://schemas.openxmlformats.org/officeDocument/2006/relationships/hyperlink" Target="https://cgi.pbs.org/wgbh/pages/frontline/tehranbureau/2012/10/7911-tehran-or-tunis-part-3-the-abandonment-of-democratic-principles.html" TargetMode="External"/><Relationship Id="rId14" Type="http://schemas.openxmlformats.org/officeDocument/2006/relationships/hyperlink" Target="https://www.iranicaonline.org/articles/iran-ii2-islamic-period-page-6/" TargetMode="External"/><Relationship Id="rId15" Type="http://schemas.openxmlformats.org/officeDocument/2006/relationships/hyperlink" Target="https://www.iranicaonline.org/articles/khomeini-i-life/" TargetMode="External"/><Relationship Id="rId16" Type="http://schemas.openxmlformats.org/officeDocument/2006/relationships/hyperlink" Target="https://www.iranicaonline.org/articles/communism-ii/" TargetMode="External"/><Relationship Id="rId17" Type="http://schemas.openxmlformats.org/officeDocument/2006/relationships/hyperlink" Target="https://www.azargoshnasp.net/recent_history/atoor/sanadtaazehdekhalatashkaar.htm" TargetMode="External"/><Relationship Id="rId18" Type="http://schemas.openxmlformats.org/officeDocument/2006/relationships/hyperlink" Target="https://www.iranicaonline.org/articles/communism-iii/" TargetMode="External"/><Relationship Id="rId19" Type="http://schemas.openxmlformats.org/officeDocument/2006/relationships/hyperlink" Target="https://www.marxists.org/archive/lenin/works/1914/jan/18.htm" TargetMode="External"/><Relationship Id="rId20" Type="http://schemas.openxmlformats.org/officeDocument/2006/relationships/hyperlink" Target="https://journals.rudn.ru/russian-history/article/view/32794" TargetMode="External"/><Relationship Id="rId21" Type="http://schemas.openxmlformats.org/officeDocument/2006/relationships/hyperlink" Target="https://www.marxists.org/reference/archive/stalin/works/1950/06/20.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انترناسیونالیسم ناسیونالیسمش روسی است و عنترش ماییم</dc:title>
  <dc:subject>نقد تاریخی چپ اردوگاهی و وابستگی به شوروی</dc:subject>
  <dc:creator>Dr Peyman Bakhshayesh</dc:creator>
  <cp:keywords/>
  <dc:description>generated by python-docx</dc:description>
  <cp:lastModifiedBy/>
  <cp:revision>1</cp:revision>
  <dcterms:created xsi:type="dcterms:W3CDTF">2013-12-23T23:15:00Z</dcterms:created>
  <dcterms:modified xsi:type="dcterms:W3CDTF">2013-12-23T23:15:00Z</dcterms:modified>
  <cp:category/>
</cp:coreProperties>
</file>