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Eine historische Bewertung von Rationalität, Beratung und Entscheidungsfindung im Iran</w:t>
      </w:r>
    </w:p>
    <w:p>
      <w:pPr>
        <w:jc w:val="center"/>
      </w:pPr>
      <w:r>
        <w:rPr>
          <w:rFonts w:ascii="Arial" w:hAnsi="Arial"/>
          <w:i/>
          <w:sz w:val="22"/>
        </w:rPr>
        <w:t>Vom Achämenidenreich bis zum heutigen Iran: ein qualitativer Rahmen zum Vergleich von Wissenschaft, Wissen, abstrakter Vernunft, Religion, Aberglauben, Emotionalismus und politischer Inszenierung</w:t>
      </w:r>
    </w:p>
    <w:p>
      <w:pPr>
        <w:jc w:val="center"/>
      </w:pPr>
      <w:r>
        <w:rPr>
          <w:rFonts w:ascii="Arial" w:hAnsi="Arial"/>
          <w:sz w:val="20"/>
        </w:rPr>
        <w:t>Erstellt als wissenschaftlich-analytischer Essay über das Verhältnis von Denken, Beratung, praktischer Erprobung, institutionellem Lernen und der Weitergabe von Erfahrungen in verschiedenen Perioden der iranischen Geschichte.</w:t>
      </w:r>
    </w:p>
    <w:p>
      <w:pPr>
        <w:jc w:val="center"/>
      </w:pPr>
      <w:r>
        <w:rPr>
          <w:rFonts w:ascii="Arial" w:hAnsi="Arial"/>
          <w:b/>
          <w:sz w:val="19"/>
        </w:rPr>
        <w:t>Methodischer Hinweis: Dieser Artikel beansprucht keine exakte numerische Messung. Er verwendet eine transparente qualitative Skala, um historische Perioden anhand institutioneller und intellektueller Evidenz vergleichbar zu machen.</w:t>
      </w:r>
    </w:p>
    <w:p>
      <w:pPr>
        <w:jc w:val="center"/>
      </w:pPr>
      <w:r>
        <w:rPr>
          <w:rFonts w:ascii="Arial" w:hAnsi="Arial"/>
          <w:b w:val="0"/>
          <w:i w:val="0"/>
          <w:sz w:val="21"/>
        </w:rPr>
        <w:t>—</w:t>
      </w:r>
    </w:p>
    <w:p>
      <w:pPr>
        <w:pStyle w:val="Heading1"/>
      </w:pPr>
      <w:r>
        <w:rPr>
          <w:rFonts w:ascii="Arial" w:hAnsi="Arial"/>
          <w:b w:val="0"/>
          <w:i w:val="0"/>
          <w:sz w:val="22"/>
        </w:rPr>
        <w:t>Zusammenfassung</w:t>
      </w:r>
    </w:p>
    <w:p>
      <w:r>
        <w:rPr>
          <w:rFonts w:ascii="Arial" w:hAnsi="Arial"/>
          <w:b w:val="0"/>
          <w:i w:val="0"/>
          <w:sz w:val="21"/>
        </w:rPr>
        <w:t>Dieser Artikel entwickelt einen analytischen Rahmen zur Bewertung der historischen Rolle von Rationalität in der politischen und gesellschaftlichen Entscheidungsfindung Irans. Die zentrale Frage lautet: In welchem Ausmaß wurden Entscheidungen in verschiedenen Perioden der iranischen Geschichte durch Wissenschaft, praktisches Wissen, Verwaltungserfahrung, Beratung, abstrakte Vernunft, Dokumentation, Erprobung und institutionelles Lernen geprägt; und in welchem Ausmaß durch politisierte Religion, Aberglauben, emotionale Mobilisierung, demonstrative Loyalität und Entscheidungen auf der Grundlage von Charisma oder Sakralisierung? Der Artikel nutzt eine qualitative Skala von hoch, mittel und niedrig, die in einfache ordinale Punktwerte übersetzt wird, um große historische Perioden zu vergleichen. Ziel ist es nicht, Geschichte auf Zahlen zu reduzieren, sondern ein diszipliniertes Vergleichsmodell zu schaffen, das diskutiert, korrigiert und erweitert werden kann.</w:t>
      </w:r>
    </w:p>
    <w:p>
      <w:pPr>
        <w:pStyle w:val="Heading1"/>
      </w:pPr>
      <w:r>
        <w:rPr>
          <w:rFonts w:ascii="Arial" w:hAnsi="Arial"/>
          <w:b w:val="0"/>
          <w:i w:val="0"/>
          <w:sz w:val="22"/>
        </w:rPr>
        <w:t>Vorwort: Der Prozess optimalen Denkens von Platon bis heute</w:t>
      </w:r>
    </w:p>
    <w:p>
      <w:r>
        <w:rPr>
          <w:rFonts w:ascii="Arial" w:hAnsi="Arial"/>
          <w:b w:val="0"/>
          <w:i w:val="0"/>
          <w:sz w:val="21"/>
        </w:rPr>
        <w:t>Vor dem historischen Vergleich muss ein chronologischer Punkt geklärt werden. Kyros der Große und die Gründung des achämenidischen Staates liegen historisch vor Platon. Daher wäre es nicht korrekt zu behaupten, das Achämenidenreich habe seinen Denkmechanismus von Platon übernommen. Die Achämeniden entwickelten ihre eigene Form praktischer imperialer Rationalität: Verwaltung, Straßen, Steuern, Satrapien, Inschriftenkommunikation, Toleranz gegenüber lokalen Eliten und die Steuerung eines riesigen multiethnischen Reiches. Platon formulierte später jedoch ein philosophisches Modell rationaler Prüfung, das für die Analyse von Entscheidungsfindung in jeder Zivilisation, auch im Iran, weiterhin nützlich ist.</w:t>
      </w:r>
    </w:p>
    <w:p>
      <w:r>
        <w:rPr>
          <w:rFonts w:ascii="Arial" w:hAnsi="Arial"/>
          <w:b w:val="0"/>
          <w:i w:val="0"/>
          <w:sz w:val="21"/>
        </w:rPr>
        <w:t>Mit dieser Korrektur lässt sich sagen, dass sich der Kernprozess optimalen Denkens von Platon bis heute nicht grundlegend verändert hat, auch wenn sich seine Instrumente verändert haben. Menschen müssen weiterhin das Problem definieren, Fakten von Emotionen unterscheiden, Evidenz sammeln, kompetente Köpfe konsultieren, Annahmen prüfen, Alternativen vergleichen und aus Folgen lernen. Die moderne Wissenschaft hat Statistik, Experiment, Peer Review, Modellierung, öffentliche Rechenschaft und institutionelles Audit hinzugefügt; dennoch bleibt das Grundgerüst rationaler Entscheidungsfindung erkennbar ähnlich.</w:t>
      </w:r>
    </w:p>
    <w:p>
      <w:r>
        <w:rPr>
          <w:rFonts w:ascii="Arial" w:hAnsi="Arial"/>
          <w:b w:val="0"/>
          <w:i w:val="0"/>
          <w:sz w:val="21"/>
        </w:rPr>
        <w:t>Für Platon war Denken nicht die bloße Produktion von Meinung. Es war die Bewegung von doxa – ungeprüfter Meinung oder Erscheinung – zu episteme – Wissen – durch Fragen, Dialog und logische Prüfung. In der dialektischen Tradition muss eine rohe Meinung dem Fragen ausgesetzt werden; ihre Widersprüche müssen sichtbar werden; und durch diesen Prozess nähert sich der Geist einem stabileren Verständnis. Deshalb sind Beratung, Argument und strukturierter Widerspruch keine Zeichen von Schwäche. Sie sind die eigentliche Maschinerie der Vernunft.</w:t>
      </w:r>
    </w:p>
    <w:p>
      <w:r>
        <w:rPr>
          <w:rFonts w:ascii="Arial" w:hAnsi="Arial"/>
          <w:b w:val="0"/>
          <w:i w:val="0"/>
          <w:sz w:val="21"/>
        </w:rPr>
        <w:t>Der optimale Mechanismus der Entscheidungsfindung lässt sich daher in sieben Stufen zusammenfassen: 1) präzise Definition des Problems; 2) Trennung von Realität, Emotion, Propaganda und kollektiver Hysterie; 3) Sammlung von Wissen, Daten und historischen Präzedenzfällen; 4) Beratung mit Experten, Interessengruppen und von der Entscheidung Betroffenen; 5) Konstruktion mehrerer Szenarien; 6) Erprobung im kleinen Maßstab und Korrektur; und 7) Umsetzung im großen Maßstab, gefolgt von Dokumentation, institutionellem Gedächtnis und Weitergabe von Erfahrungen an künftige Generationen.</w:t>
      </w:r>
    </w:p>
    <w:p>
      <w:r>
        <w:rPr>
          <w:rFonts w:ascii="Arial" w:hAnsi="Arial"/>
          <w:b w:val="0"/>
          <w:i w:val="0"/>
          <w:sz w:val="21"/>
        </w:rPr>
        <w:t>Jede Gesellschaft, die diesen Zyklus schwächt, ersetzt Vernunft schrittweise durch Inszenierung. Statt zu fragen, was funktioniert, fragt sie, wer loyal ist. Statt Annahmen zu prüfen, heiligt sie Parolen. Statt Scheitern zu korrigieren, erklärt sie es durch Verschwörung, Verrat oder göttliches Schicksal. In einer solchen Gesellschaft bricht der Lernmechanismus zusammen. Die Geschichte Irans enthält beide Traditionen: die Tradition rationaler Staatskunst, Verwaltung, Übersetzung, Medizin, Recht und Konstitutionalismus; und die Tradition sakralisierter Macht, ideologischer Verhärtung, emotionaler Mobilisierung und spektakulärer Politik.</w:t>
      </w:r>
    </w:p>
    <w:p>
      <w:pPr>
        <w:pStyle w:val="Heading1"/>
      </w:pPr>
      <w:r>
        <w:rPr>
          <w:rFonts w:ascii="Arial" w:hAnsi="Arial"/>
          <w:b w:val="0"/>
          <w:i w:val="0"/>
          <w:sz w:val="22"/>
        </w:rPr>
        <w:t>Definition der Indikatoren und Bewertungsmethode</w:t>
      </w:r>
    </w:p>
    <w:p>
      <w:r>
        <w:rPr>
          <w:rFonts w:ascii="Arial" w:hAnsi="Arial"/>
          <w:b w:val="0"/>
          <w:i w:val="0"/>
          <w:sz w:val="21"/>
        </w:rPr>
        <w:t>Um die falsche Präzision erfundener Statistiken zu vermeiden, verwendet dieser Artikel eine ordinale Skala. „Hoch“ wird mit 3, „mittel“ mit 2 und „niedrig“ mit 1 bewertet. Zwischenformeln wie „mittel bis hoch“ werden verwendet, wenn die historische Evidenz gemischt ist. Die Zahlen stellen keine Labor-Messung dar; sie sind ein Vergleichsinstrument für eine disziplinierte historische Diskussion.</w:t>
      </w:r>
    </w:p>
    <w:p>
      <w:r>
        <w:rPr>
          <w:rFonts w:ascii="Arial" w:hAnsi="Arial"/>
          <w:b w:val="0"/>
          <w:i w:val="0"/>
          <w:sz w:val="21"/>
        </w:rPr>
        <w:t>Die positiven Indikatoren sind: a) Wissenschaft und praktische Technologie; b) administratives und rechtliches Wissen; c) Institutionen der Beratung und Entscheidungsunterstützung; d) abstrakte und philosophische Vernunft; e) Aufzeichnung, Archivierung und Weitergabe von Erfahrung; und f) Fähigkeit zu Erprobung, Korrektur und Lernen. Die negativen beziehungsweise nicht-rationalen Indikatoren sind: a) politisierte Religion, die nicht befragt werden darf; b) Aberglaube und magisches Denken; c) emotionale Entscheidungsfindung; d) demonstrative Loyalität und symbolische Inszenierung; und e) Unterdrückung von Kritik und Rückmeldung.</w:t>
      </w:r>
    </w:p>
    <w:p>
      <w:r>
        <w:rPr>
          <w:rFonts w:ascii="Arial" w:hAnsi="Arial"/>
          <w:b w:val="0"/>
          <w:i w:val="0"/>
          <w:sz w:val="21"/>
        </w:rPr>
        <w:t>In diesem Modell wird Religion nicht automatisch mit Aberglauben gleichgesetzt. Religion kann eine Quelle von Ethik, Legitimität und sozialer Ordnung sein. Das Problem beginnt, wenn politische Macht Argument, Erprobung, Kritik und Korrektur durch Sakralisierung ersetzt. In dieser Situation wirkt Religion nicht mehr als ethische Sinngebung, sondern als Mechanismus zur Schließung des Geistes.</w:t>
      </w:r>
    </w:p>
    <w:p>
      <w:pPr>
        <w:pStyle w:val="Heading1"/>
      </w:pPr>
      <w:r>
        <w:rPr>
          <w:rFonts w:ascii="Arial" w:hAnsi="Arial"/>
          <w:b w:val="0"/>
          <w:i w:val="0"/>
          <w:sz w:val="22"/>
        </w:rPr>
        <w:t>Historische Bewertungstabelle</w:t>
      </w:r>
    </w:p>
    <w:p>
      <w:r>
        <w:rPr>
          <w:rFonts w:ascii="Arial" w:hAnsi="Arial"/>
          <w:b w:val="0"/>
          <w:i w:val="0"/>
          <w:sz w:val="21"/>
        </w:rPr>
        <w:t>Leitfaden: hoch = 3, mittel = 2, niedrig = 1. Der Rationalitätsindex ist ein qualitativer Durchschnitt von Wissenschaft, administrativem Wissen, Beratung/Denken und Erprobung/Lernen. Der Index nicht-rationaler Einflüsse spiegelt das relative Gewicht nicht kritisierbarer politisierter Religion, von Aberglauben, Emotionalismus und politischer Inszenierung in der Entscheidungsfindung wider.</w:t>
      </w:r>
    </w:p>
    <w:p>
      <w:r>
        <w:br w:type="page"/>
      </w:r>
    </w:p>
    <w:tbl>
      <w:tblPr>
        <w:tblStyle w:val="TableGrid"/>
        <w:tblW w:type="auto" w:w="0"/>
        <w:jc w:val="center"/>
        <w:tblLook w:firstColumn="1" w:firstRow="1" w:lastColumn="0" w:lastRow="0" w:noHBand="0" w:noVBand="1" w:val="04A0"/>
      </w:tblPr>
      <w:tblGrid>
        <w:gridCol w:w="1332"/>
        <w:gridCol w:w="1332"/>
        <w:gridCol w:w="1332"/>
        <w:gridCol w:w="1332"/>
        <w:gridCol w:w="1332"/>
        <w:gridCol w:w="1332"/>
        <w:gridCol w:w="1332"/>
        <w:gridCol w:w="1332"/>
      </w:tblGrid>
      <w:tr>
        <w:tc>
          <w:tcPr>
            <w:tcW w:type="dxa" w:w="1181"/>
            <w:vAlign w:val="center"/>
            <w:shd w:fill="D9EAF7"/>
          </w:tcPr>
          <w:p>
            <w:pPr>
              <w:jc w:val="center"/>
            </w:pPr>
            <w:r/>
            <w:r>
              <w:rPr>
                <w:rFonts w:ascii="Arial" w:hAnsi="Arial"/>
                <w:b/>
                <w:sz w:val="12"/>
              </w:rPr>
              <w:t>Historische Periode</w:t>
            </w:r>
          </w:p>
        </w:tc>
        <w:tc>
          <w:tcPr>
            <w:tcW w:type="dxa" w:w="1181"/>
            <w:vAlign w:val="center"/>
            <w:shd w:fill="D9EAF7"/>
          </w:tcPr>
          <w:p>
            <w:pPr>
              <w:jc w:val="center"/>
            </w:pPr>
            <w:r/>
            <w:r>
              <w:rPr>
                <w:rFonts w:ascii="Arial" w:hAnsi="Arial"/>
                <w:b/>
                <w:sz w:val="12"/>
              </w:rPr>
              <w:t>Wissenschaft &amp; Technologie</w:t>
            </w:r>
          </w:p>
        </w:tc>
        <w:tc>
          <w:tcPr>
            <w:tcW w:type="dxa" w:w="1181"/>
            <w:vAlign w:val="center"/>
            <w:shd w:fill="D9EAF7"/>
          </w:tcPr>
          <w:p>
            <w:pPr>
              <w:jc w:val="center"/>
            </w:pPr>
            <w:r/>
            <w:r>
              <w:rPr>
                <w:rFonts w:ascii="Arial" w:hAnsi="Arial"/>
                <w:b/>
                <w:sz w:val="12"/>
              </w:rPr>
              <w:t>Administratives/rechtliches Wissen</w:t>
            </w:r>
          </w:p>
        </w:tc>
        <w:tc>
          <w:tcPr>
            <w:tcW w:type="dxa" w:w="1181"/>
            <w:vAlign w:val="center"/>
            <w:shd w:fill="D9EAF7"/>
          </w:tcPr>
          <w:p>
            <w:pPr>
              <w:jc w:val="center"/>
            </w:pPr>
            <w:r/>
            <w:r>
              <w:rPr>
                <w:rFonts w:ascii="Arial" w:hAnsi="Arial"/>
                <w:b/>
                <w:sz w:val="12"/>
              </w:rPr>
              <w:t>Denken &amp; Beratung</w:t>
            </w:r>
          </w:p>
        </w:tc>
        <w:tc>
          <w:tcPr>
            <w:tcW w:type="dxa" w:w="1181"/>
            <w:vAlign w:val="center"/>
            <w:shd w:fill="D9EAF7"/>
          </w:tcPr>
          <w:p>
            <w:pPr>
              <w:jc w:val="center"/>
            </w:pPr>
            <w:r/>
            <w:r>
              <w:rPr>
                <w:rFonts w:ascii="Arial" w:hAnsi="Arial"/>
                <w:b/>
                <w:sz w:val="12"/>
              </w:rPr>
              <w:t>Erprobung/Lernen</w:t>
            </w:r>
          </w:p>
        </w:tc>
        <w:tc>
          <w:tcPr>
            <w:tcW w:type="dxa" w:w="1181"/>
            <w:vAlign w:val="center"/>
            <w:shd w:fill="D9EAF7"/>
          </w:tcPr>
          <w:p>
            <w:pPr>
              <w:jc w:val="center"/>
            </w:pPr>
            <w:r/>
            <w:r>
              <w:rPr>
                <w:rFonts w:ascii="Arial" w:hAnsi="Arial"/>
                <w:b/>
                <w:sz w:val="12"/>
              </w:rPr>
              <w:t>Rationalitäts-index</w:t>
            </w:r>
          </w:p>
        </w:tc>
        <w:tc>
          <w:tcPr>
            <w:tcW w:type="dxa" w:w="1181"/>
            <w:vAlign w:val="center"/>
            <w:shd w:fill="D9EAF7"/>
          </w:tcPr>
          <w:p>
            <w:pPr>
              <w:jc w:val="center"/>
            </w:pPr>
            <w:r/>
            <w:r>
              <w:rPr>
                <w:rFonts w:ascii="Arial" w:hAnsi="Arial"/>
                <w:b/>
                <w:sz w:val="12"/>
              </w:rPr>
              <w:t>Nicht-rationaler Einfluss</w:t>
            </w:r>
          </w:p>
        </w:tc>
        <w:tc>
          <w:tcPr>
            <w:tcW w:type="dxa" w:w="1181"/>
            <w:vAlign w:val="center"/>
            <w:shd w:fill="D9EAF7"/>
          </w:tcPr>
          <w:p>
            <w:pPr>
              <w:jc w:val="center"/>
            </w:pPr>
            <w:r/>
            <w:r>
              <w:rPr>
                <w:rFonts w:ascii="Arial" w:hAnsi="Arial"/>
                <w:b/>
                <w:sz w:val="12"/>
              </w:rPr>
              <w:t>Bilanz</w:t>
            </w:r>
          </w:p>
        </w:tc>
      </w:tr>
      <w:tr>
        <w:tc>
          <w:tcPr>
            <w:tcW w:type="dxa" w:w="1181"/>
            <w:vAlign w:val="center"/>
          </w:tcPr>
          <w:p>
            <w:pPr>
              <w:jc w:val="center"/>
            </w:pPr>
            <w:r/>
            <w:r>
              <w:rPr>
                <w:rFonts w:ascii="Arial" w:hAnsi="Arial"/>
                <w:b w:val="0"/>
                <w:sz w:val="12"/>
              </w:rPr>
              <w:t>Achämeniden</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2,7</w:t>
            </w:r>
          </w:p>
        </w:tc>
        <w:tc>
          <w:tcPr>
            <w:tcW w:type="dxa" w:w="1181"/>
            <w:vAlign w:val="center"/>
          </w:tcPr>
          <w:p>
            <w:pPr>
              <w:jc w:val="center"/>
            </w:pPr>
            <w:r/>
            <w:r>
              <w:rPr>
                <w:rFonts w:ascii="Arial" w:hAnsi="Arial"/>
                <w:b w:val="0"/>
                <w:sz w:val="12"/>
              </w:rPr>
              <w:t>Niedrig bis mittel</w:t>
            </w:r>
          </w:p>
        </w:tc>
        <w:tc>
          <w:tcPr>
            <w:tcW w:type="dxa" w:w="1181"/>
            <w:vAlign w:val="center"/>
          </w:tcPr>
          <w:p>
            <w:pPr>
              <w:jc w:val="center"/>
            </w:pPr>
            <w:r/>
            <w:r>
              <w:rPr>
                <w:rFonts w:ascii="Arial" w:hAnsi="Arial"/>
                <w:b w:val="0"/>
                <w:sz w:val="12"/>
              </w:rPr>
              <w:t>Stark positiv</w:t>
            </w:r>
          </w:p>
        </w:tc>
      </w:tr>
      <w:tr>
        <w:tc>
          <w:tcPr>
            <w:tcW w:type="dxa" w:w="1181"/>
            <w:vAlign w:val="center"/>
            <w:shd w:fill="F7F7F7"/>
          </w:tcPr>
          <w:p>
            <w:pPr>
              <w:jc w:val="center"/>
            </w:pPr>
            <w:r/>
            <w:r>
              <w:rPr>
                <w:rFonts w:ascii="Arial" w:hAnsi="Arial"/>
                <w:b w:val="0"/>
                <w:sz w:val="12"/>
              </w:rPr>
              <w:t>Parther</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Niedrig bis mittel</w:t>
            </w:r>
          </w:p>
        </w:tc>
        <w:tc>
          <w:tcPr>
            <w:tcW w:type="dxa" w:w="1181"/>
            <w:vAlign w:val="center"/>
            <w:shd w:fill="F7F7F7"/>
          </w:tcPr>
          <w:p>
            <w:pPr>
              <w:jc w:val="center"/>
            </w:pPr>
            <w:r/>
            <w:r>
              <w:rPr>
                <w:rFonts w:ascii="Arial" w:hAnsi="Arial"/>
                <w:b w:val="0"/>
                <w:sz w:val="12"/>
              </w:rPr>
              <w:t>1,9</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Ausgewogen</w:t>
            </w:r>
          </w:p>
        </w:tc>
      </w:tr>
      <w:tr>
        <w:tc>
          <w:tcPr>
            <w:tcW w:type="dxa" w:w="1181"/>
            <w:vAlign w:val="center"/>
          </w:tcPr>
          <w:p>
            <w:pPr>
              <w:jc w:val="center"/>
            </w:pPr>
            <w:r/>
            <w:r>
              <w:rPr>
                <w:rFonts w:ascii="Arial" w:hAnsi="Arial"/>
                <w:b w:val="0"/>
                <w:sz w:val="12"/>
              </w:rPr>
              <w:t>Sasaniden</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Mittel</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2,4</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Positiv, aber ideologisch</w:t>
            </w:r>
          </w:p>
        </w:tc>
      </w:tr>
      <w:tr>
        <w:tc>
          <w:tcPr>
            <w:tcW w:type="dxa" w:w="1181"/>
            <w:vAlign w:val="center"/>
            <w:shd w:fill="F7F7F7"/>
          </w:tcPr>
          <w:p>
            <w:pPr>
              <w:jc w:val="center"/>
            </w:pPr>
            <w:r/>
            <w:r>
              <w:rPr>
                <w:rFonts w:ascii="Arial" w:hAnsi="Arial"/>
                <w:b w:val="0"/>
                <w:sz w:val="12"/>
              </w:rPr>
              <w:t>Frühislamische und abbasidisch-iranische Welt</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Mittel bis hoch</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2,8</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Stark positiv</w:t>
            </w:r>
          </w:p>
        </w:tc>
      </w:tr>
      <w:tr>
        <w:tc>
          <w:tcPr>
            <w:tcW w:type="dxa" w:w="1181"/>
            <w:vAlign w:val="center"/>
          </w:tcPr>
          <w:p>
            <w:pPr>
              <w:jc w:val="center"/>
            </w:pPr>
            <w:r/>
            <w:r>
              <w:rPr>
                <w:rFonts w:ascii="Arial" w:hAnsi="Arial"/>
                <w:b w:val="0"/>
                <w:sz w:val="12"/>
              </w:rPr>
              <w:t>Samaniden, Buyiden, Seldschuken</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Mittel</w:t>
            </w:r>
          </w:p>
        </w:tc>
        <w:tc>
          <w:tcPr>
            <w:tcW w:type="dxa" w:w="1181"/>
            <w:vAlign w:val="center"/>
          </w:tcPr>
          <w:p>
            <w:pPr>
              <w:jc w:val="center"/>
            </w:pPr>
            <w:r/>
            <w:r>
              <w:rPr>
                <w:rFonts w:ascii="Arial" w:hAnsi="Arial"/>
                <w:b w:val="0"/>
                <w:sz w:val="12"/>
              </w:rPr>
              <w:t>2,5</w:t>
            </w:r>
          </w:p>
        </w:tc>
        <w:tc>
          <w:tcPr>
            <w:tcW w:type="dxa" w:w="1181"/>
            <w:vAlign w:val="center"/>
          </w:tcPr>
          <w:p>
            <w:pPr>
              <w:jc w:val="center"/>
            </w:pPr>
            <w:r/>
            <w:r>
              <w:rPr>
                <w:rFonts w:ascii="Arial" w:hAnsi="Arial"/>
                <w:b w:val="0"/>
                <w:sz w:val="12"/>
              </w:rPr>
              <w:t>Mittel</w:t>
            </w:r>
          </w:p>
        </w:tc>
        <w:tc>
          <w:tcPr>
            <w:tcW w:type="dxa" w:w="1181"/>
            <w:vAlign w:val="center"/>
          </w:tcPr>
          <w:p>
            <w:pPr>
              <w:jc w:val="center"/>
            </w:pPr>
            <w:r/>
            <w:r>
              <w:rPr>
                <w:rFonts w:ascii="Arial" w:hAnsi="Arial"/>
                <w:b w:val="0"/>
                <w:sz w:val="12"/>
              </w:rPr>
              <w:t>Positiv</w:t>
            </w:r>
          </w:p>
        </w:tc>
      </w:tr>
      <w:tr>
        <w:tc>
          <w:tcPr>
            <w:tcW w:type="dxa" w:w="1181"/>
            <w:vAlign w:val="center"/>
            <w:shd w:fill="F7F7F7"/>
          </w:tcPr>
          <w:p>
            <w:pPr>
              <w:jc w:val="center"/>
            </w:pPr>
            <w:r/>
            <w:r>
              <w:rPr>
                <w:rFonts w:ascii="Arial" w:hAnsi="Arial"/>
                <w:b w:val="0"/>
                <w:sz w:val="12"/>
              </w:rPr>
              <w:t>Mongolen, Ilchane, Timuriden</w:t>
            </w:r>
          </w:p>
        </w:tc>
        <w:tc>
          <w:tcPr>
            <w:tcW w:type="dxa" w:w="1181"/>
            <w:vAlign w:val="center"/>
            <w:shd w:fill="F7F7F7"/>
          </w:tcPr>
          <w:p>
            <w:pPr>
              <w:jc w:val="center"/>
            </w:pPr>
            <w:r/>
            <w:r>
              <w:rPr>
                <w:rFonts w:ascii="Arial" w:hAnsi="Arial"/>
                <w:b w:val="0"/>
                <w:sz w:val="12"/>
              </w:rPr>
              <w:t>Mittel bis hoch nach Erholung</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2,1</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Gemischt</w:t>
            </w:r>
          </w:p>
        </w:tc>
      </w:tr>
      <w:tr>
        <w:tc>
          <w:tcPr>
            <w:tcW w:type="dxa" w:w="1181"/>
            <w:vAlign w:val="center"/>
          </w:tcPr>
          <w:p>
            <w:pPr>
              <w:jc w:val="center"/>
            </w:pPr>
            <w:r/>
            <w:r>
              <w:rPr>
                <w:rFonts w:ascii="Arial" w:hAnsi="Arial"/>
                <w:b w:val="0"/>
                <w:sz w:val="12"/>
              </w:rPr>
              <w:t>Safawiden</w:t>
            </w:r>
          </w:p>
        </w:tc>
        <w:tc>
          <w:tcPr>
            <w:tcW w:type="dxa" w:w="1181"/>
            <w:vAlign w:val="center"/>
          </w:tcPr>
          <w:p>
            <w:pPr>
              <w:jc w:val="center"/>
            </w:pPr>
            <w:r/>
            <w:r>
              <w:rPr>
                <w:rFonts w:ascii="Arial" w:hAnsi="Arial"/>
                <w:b w:val="0"/>
                <w:sz w:val="12"/>
              </w:rPr>
              <w:t>Mittel</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Niedrig bis mittel</w:t>
            </w:r>
          </w:p>
        </w:tc>
        <w:tc>
          <w:tcPr>
            <w:tcW w:type="dxa" w:w="1181"/>
            <w:vAlign w:val="center"/>
          </w:tcPr>
          <w:p>
            <w:pPr>
              <w:jc w:val="center"/>
            </w:pPr>
            <w:r/>
            <w:r>
              <w:rPr>
                <w:rFonts w:ascii="Arial" w:hAnsi="Arial"/>
                <w:b w:val="0"/>
                <w:sz w:val="12"/>
              </w:rPr>
              <w:t>Niedrig bis mittel</w:t>
            </w:r>
          </w:p>
        </w:tc>
        <w:tc>
          <w:tcPr>
            <w:tcW w:type="dxa" w:w="1181"/>
            <w:vAlign w:val="center"/>
          </w:tcPr>
          <w:p>
            <w:pPr>
              <w:jc w:val="center"/>
            </w:pPr>
            <w:r/>
            <w:r>
              <w:rPr>
                <w:rFonts w:ascii="Arial" w:hAnsi="Arial"/>
                <w:b w:val="0"/>
                <w:sz w:val="12"/>
              </w:rPr>
              <w:t>1,8</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Ideologisch-religiös</w:t>
            </w:r>
          </w:p>
        </w:tc>
      </w:tr>
      <w:tr>
        <w:tc>
          <w:tcPr>
            <w:tcW w:type="dxa" w:w="1181"/>
            <w:vAlign w:val="center"/>
            <w:shd w:fill="F7F7F7"/>
          </w:tcPr>
          <w:p>
            <w:pPr>
              <w:jc w:val="center"/>
            </w:pPr>
            <w:r/>
            <w:r>
              <w:rPr>
                <w:rFonts w:ascii="Arial" w:hAnsi="Arial"/>
                <w:b w:val="0"/>
                <w:sz w:val="12"/>
              </w:rPr>
              <w:t>Afshariden und Zand</w:t>
            </w:r>
          </w:p>
        </w:tc>
        <w:tc>
          <w:tcPr>
            <w:tcW w:type="dxa" w:w="1181"/>
            <w:vAlign w:val="center"/>
            <w:shd w:fill="F7F7F7"/>
          </w:tcPr>
          <w:p>
            <w:pPr>
              <w:jc w:val="center"/>
            </w:pPr>
            <w:r/>
            <w:r>
              <w:rPr>
                <w:rFonts w:ascii="Arial" w:hAnsi="Arial"/>
                <w:b w:val="0"/>
                <w:sz w:val="12"/>
              </w:rPr>
              <w:t>Niedrig bis mittel</w:t>
            </w:r>
          </w:p>
        </w:tc>
        <w:tc>
          <w:tcPr>
            <w:tcW w:type="dxa" w:w="1181"/>
            <w:vAlign w:val="center"/>
            <w:shd w:fill="F7F7F7"/>
          </w:tcPr>
          <w:p>
            <w:pPr>
              <w:jc w:val="center"/>
            </w:pPr>
            <w:r/>
            <w:r>
              <w:rPr>
                <w:rFonts w:ascii="Arial" w:hAnsi="Arial"/>
                <w:b w:val="0"/>
                <w:sz w:val="12"/>
              </w:rPr>
              <w:t>Niedrig bis mittel</w:t>
            </w:r>
          </w:p>
        </w:tc>
        <w:tc>
          <w:tcPr>
            <w:tcW w:type="dxa" w:w="1181"/>
            <w:vAlign w:val="center"/>
            <w:shd w:fill="F7F7F7"/>
          </w:tcPr>
          <w:p>
            <w:pPr>
              <w:jc w:val="center"/>
            </w:pPr>
            <w:r/>
            <w:r>
              <w:rPr>
                <w:rFonts w:ascii="Arial" w:hAnsi="Arial"/>
                <w:b w:val="0"/>
                <w:sz w:val="12"/>
              </w:rPr>
              <w:t>Niedrig bis mittel</w:t>
            </w:r>
          </w:p>
        </w:tc>
        <w:tc>
          <w:tcPr>
            <w:tcW w:type="dxa" w:w="1181"/>
            <w:vAlign w:val="center"/>
            <w:shd w:fill="F7F7F7"/>
          </w:tcPr>
          <w:p>
            <w:pPr>
              <w:jc w:val="center"/>
            </w:pPr>
            <w:r/>
            <w:r>
              <w:rPr>
                <w:rFonts w:ascii="Arial" w:hAnsi="Arial"/>
                <w:b w:val="0"/>
                <w:sz w:val="12"/>
              </w:rPr>
              <w:t>Niedrig</w:t>
            </w:r>
          </w:p>
        </w:tc>
        <w:tc>
          <w:tcPr>
            <w:tcW w:type="dxa" w:w="1181"/>
            <w:vAlign w:val="center"/>
            <w:shd w:fill="F7F7F7"/>
          </w:tcPr>
          <w:p>
            <w:pPr>
              <w:jc w:val="center"/>
            </w:pPr>
            <w:r/>
            <w:r>
              <w:rPr>
                <w:rFonts w:ascii="Arial" w:hAnsi="Arial"/>
                <w:b w:val="0"/>
                <w:sz w:val="12"/>
              </w:rPr>
              <w:t>1,3</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Militärisch/krisengetrieben</w:t>
            </w:r>
          </w:p>
        </w:tc>
      </w:tr>
      <w:tr>
        <w:tc>
          <w:tcPr>
            <w:tcW w:type="dxa" w:w="1181"/>
            <w:vAlign w:val="center"/>
          </w:tcPr>
          <w:p>
            <w:pPr>
              <w:jc w:val="center"/>
            </w:pPr>
            <w:r/>
            <w:r>
              <w:rPr>
                <w:rFonts w:ascii="Arial" w:hAnsi="Arial"/>
                <w:b w:val="0"/>
                <w:sz w:val="12"/>
              </w:rPr>
              <w:t>Qadscharen</w:t>
            </w:r>
          </w:p>
        </w:tc>
        <w:tc>
          <w:tcPr>
            <w:tcW w:type="dxa" w:w="1181"/>
            <w:vAlign w:val="center"/>
          </w:tcPr>
          <w:p>
            <w:pPr>
              <w:jc w:val="center"/>
            </w:pPr>
            <w:r/>
            <w:r>
              <w:rPr>
                <w:rFonts w:ascii="Arial" w:hAnsi="Arial"/>
                <w:b w:val="0"/>
                <w:sz w:val="12"/>
              </w:rPr>
              <w:t>Niedrig bis mittel</w:t>
            </w:r>
          </w:p>
        </w:tc>
        <w:tc>
          <w:tcPr>
            <w:tcW w:type="dxa" w:w="1181"/>
            <w:vAlign w:val="center"/>
          </w:tcPr>
          <w:p>
            <w:pPr>
              <w:jc w:val="center"/>
            </w:pPr>
            <w:r/>
            <w:r>
              <w:rPr>
                <w:rFonts w:ascii="Arial" w:hAnsi="Arial"/>
                <w:b w:val="0"/>
                <w:sz w:val="12"/>
              </w:rPr>
              <w:t>Niedrig</w:t>
            </w:r>
          </w:p>
        </w:tc>
        <w:tc>
          <w:tcPr>
            <w:tcW w:type="dxa" w:w="1181"/>
            <w:vAlign w:val="center"/>
          </w:tcPr>
          <w:p>
            <w:pPr>
              <w:jc w:val="center"/>
            </w:pPr>
            <w:r/>
            <w:r>
              <w:rPr>
                <w:rFonts w:ascii="Arial" w:hAnsi="Arial"/>
                <w:b w:val="0"/>
                <w:sz w:val="12"/>
              </w:rPr>
              <w:t>Niedrig bis mittel</w:t>
            </w:r>
          </w:p>
        </w:tc>
        <w:tc>
          <w:tcPr>
            <w:tcW w:type="dxa" w:w="1181"/>
            <w:vAlign w:val="center"/>
          </w:tcPr>
          <w:p>
            <w:pPr>
              <w:jc w:val="center"/>
            </w:pPr>
            <w:r/>
            <w:r>
              <w:rPr>
                <w:rFonts w:ascii="Arial" w:hAnsi="Arial"/>
                <w:b w:val="0"/>
                <w:sz w:val="12"/>
              </w:rPr>
              <w:t>Niedrig</w:t>
            </w:r>
          </w:p>
        </w:tc>
        <w:tc>
          <w:tcPr>
            <w:tcW w:type="dxa" w:w="1181"/>
            <w:vAlign w:val="center"/>
          </w:tcPr>
          <w:p>
            <w:pPr>
              <w:jc w:val="center"/>
            </w:pPr>
            <w:r/>
            <w:r>
              <w:rPr>
                <w:rFonts w:ascii="Arial" w:hAnsi="Arial"/>
                <w:b w:val="0"/>
                <w:sz w:val="12"/>
              </w:rPr>
              <w:t>1,2</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Negativ</w:t>
            </w:r>
          </w:p>
        </w:tc>
      </w:tr>
      <w:tr>
        <w:tc>
          <w:tcPr>
            <w:tcW w:type="dxa" w:w="1181"/>
            <w:vAlign w:val="center"/>
            <w:shd w:fill="F7F7F7"/>
          </w:tcPr>
          <w:p>
            <w:pPr>
              <w:jc w:val="center"/>
            </w:pPr>
            <w:r/>
            <w:r>
              <w:rPr>
                <w:rFonts w:ascii="Arial" w:hAnsi="Arial"/>
                <w:b w:val="0"/>
                <w:sz w:val="12"/>
              </w:rPr>
              <w:t>Konstitutionelle Revolution</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2,2</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Reformerisch positiv</w:t>
            </w:r>
          </w:p>
        </w:tc>
      </w:tr>
      <w:tr>
        <w:tc>
          <w:tcPr>
            <w:tcW w:type="dxa" w:w="1181"/>
            <w:vAlign w:val="center"/>
          </w:tcPr>
          <w:p>
            <w:pPr>
              <w:jc w:val="center"/>
            </w:pPr>
            <w:r/>
            <w:r>
              <w:rPr>
                <w:rFonts w:ascii="Arial" w:hAnsi="Arial"/>
                <w:b w:val="0"/>
                <w:sz w:val="12"/>
              </w:rPr>
              <w:t>Pahlavi-Periode</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Hoch</w:t>
            </w:r>
          </w:p>
        </w:tc>
        <w:tc>
          <w:tcPr>
            <w:tcW w:type="dxa" w:w="1181"/>
            <w:vAlign w:val="center"/>
          </w:tcPr>
          <w:p>
            <w:pPr>
              <w:jc w:val="center"/>
            </w:pPr>
            <w:r/>
            <w:r>
              <w:rPr>
                <w:rFonts w:ascii="Arial" w:hAnsi="Arial"/>
                <w:b w:val="0"/>
                <w:sz w:val="12"/>
              </w:rPr>
              <w:t>Mittel</w:t>
            </w:r>
          </w:p>
        </w:tc>
        <w:tc>
          <w:tcPr>
            <w:tcW w:type="dxa" w:w="1181"/>
            <w:vAlign w:val="center"/>
          </w:tcPr>
          <w:p>
            <w:pPr>
              <w:jc w:val="center"/>
            </w:pPr>
            <w:r/>
            <w:r>
              <w:rPr>
                <w:rFonts w:ascii="Arial" w:hAnsi="Arial"/>
                <w:b w:val="0"/>
                <w:sz w:val="12"/>
              </w:rPr>
              <w:t>Mittel bis hoch</w:t>
            </w:r>
          </w:p>
        </w:tc>
        <w:tc>
          <w:tcPr>
            <w:tcW w:type="dxa" w:w="1181"/>
            <w:vAlign w:val="center"/>
          </w:tcPr>
          <w:p>
            <w:pPr>
              <w:jc w:val="center"/>
            </w:pPr>
            <w:r/>
            <w:r>
              <w:rPr>
                <w:rFonts w:ascii="Arial" w:hAnsi="Arial"/>
                <w:b w:val="0"/>
                <w:sz w:val="12"/>
              </w:rPr>
              <w:t>2,6</w:t>
            </w:r>
          </w:p>
        </w:tc>
        <w:tc>
          <w:tcPr>
            <w:tcW w:type="dxa" w:w="1181"/>
            <w:vAlign w:val="center"/>
          </w:tcPr>
          <w:p>
            <w:pPr>
              <w:jc w:val="center"/>
            </w:pPr>
            <w:r/>
            <w:r>
              <w:rPr>
                <w:rFonts w:ascii="Arial" w:hAnsi="Arial"/>
                <w:b w:val="0"/>
                <w:sz w:val="12"/>
              </w:rPr>
              <w:t>Mittel</w:t>
            </w:r>
          </w:p>
        </w:tc>
        <w:tc>
          <w:tcPr>
            <w:tcW w:type="dxa" w:w="1181"/>
            <w:vAlign w:val="center"/>
          </w:tcPr>
          <w:p>
            <w:pPr>
              <w:jc w:val="center"/>
            </w:pPr>
            <w:r/>
            <w:r>
              <w:rPr>
                <w:rFonts w:ascii="Arial" w:hAnsi="Arial"/>
                <w:b w:val="0"/>
                <w:sz w:val="12"/>
              </w:rPr>
              <w:t>Modernisierend, aber zentralisiert</w:t>
            </w:r>
          </w:p>
        </w:tc>
      </w:tr>
      <w:tr>
        <w:tc>
          <w:tcPr>
            <w:tcW w:type="dxa" w:w="1181"/>
            <w:vAlign w:val="center"/>
            <w:shd w:fill="F7F7F7"/>
          </w:tcPr>
          <w:p>
            <w:pPr>
              <w:jc w:val="center"/>
            </w:pPr>
            <w:r/>
            <w:r>
              <w:rPr>
                <w:rFonts w:ascii="Arial" w:hAnsi="Arial"/>
                <w:b w:val="0"/>
                <w:sz w:val="12"/>
              </w:rPr>
              <w:t>Islamische Republik</w:t>
            </w:r>
          </w:p>
        </w:tc>
        <w:tc>
          <w:tcPr>
            <w:tcW w:type="dxa" w:w="1181"/>
            <w:vAlign w:val="center"/>
            <w:shd w:fill="F7F7F7"/>
          </w:tcPr>
          <w:p>
            <w:pPr>
              <w:jc w:val="center"/>
            </w:pPr>
            <w:r/>
            <w:r>
              <w:rPr>
                <w:rFonts w:ascii="Arial" w:hAnsi="Arial"/>
                <w:b w:val="0"/>
                <w:sz w:val="12"/>
              </w:rPr>
              <w:t>Technisch mittel bis hoch</w:t>
            </w:r>
          </w:p>
        </w:tc>
        <w:tc>
          <w:tcPr>
            <w:tcW w:type="dxa" w:w="1181"/>
            <w:vAlign w:val="center"/>
            <w:shd w:fill="F7F7F7"/>
          </w:tcPr>
          <w:p>
            <w:pPr>
              <w:jc w:val="center"/>
            </w:pPr>
            <w:r/>
            <w:r>
              <w:rPr>
                <w:rFonts w:ascii="Arial" w:hAnsi="Arial"/>
                <w:b w:val="0"/>
                <w:sz w:val="12"/>
              </w:rPr>
              <w:t>Mittel</w:t>
            </w:r>
          </w:p>
        </w:tc>
        <w:tc>
          <w:tcPr>
            <w:tcW w:type="dxa" w:w="1181"/>
            <w:vAlign w:val="center"/>
            <w:shd w:fill="F7F7F7"/>
          </w:tcPr>
          <w:p>
            <w:pPr>
              <w:jc w:val="center"/>
            </w:pPr>
            <w:r/>
            <w:r>
              <w:rPr>
                <w:rFonts w:ascii="Arial" w:hAnsi="Arial"/>
                <w:b w:val="0"/>
                <w:sz w:val="12"/>
              </w:rPr>
              <w:t>Niedrig</w:t>
            </w:r>
          </w:p>
        </w:tc>
        <w:tc>
          <w:tcPr>
            <w:tcW w:type="dxa" w:w="1181"/>
            <w:vAlign w:val="center"/>
            <w:shd w:fill="F7F7F7"/>
          </w:tcPr>
          <w:p>
            <w:pPr>
              <w:jc w:val="center"/>
            </w:pPr>
            <w:r/>
            <w:r>
              <w:rPr>
                <w:rFonts w:ascii="Arial" w:hAnsi="Arial"/>
                <w:b w:val="0"/>
                <w:sz w:val="12"/>
              </w:rPr>
              <w:t>Niedrig</w:t>
            </w:r>
          </w:p>
        </w:tc>
        <w:tc>
          <w:tcPr>
            <w:tcW w:type="dxa" w:w="1181"/>
            <w:vAlign w:val="center"/>
            <w:shd w:fill="F7F7F7"/>
          </w:tcPr>
          <w:p>
            <w:pPr>
              <w:jc w:val="center"/>
            </w:pPr>
            <w:r/>
            <w:r>
              <w:rPr>
                <w:rFonts w:ascii="Arial" w:hAnsi="Arial"/>
                <w:b w:val="0"/>
                <w:sz w:val="12"/>
              </w:rPr>
              <w:t>1,6</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Technische Kapazität ohne öffentliche Rationalität</w:t>
            </w:r>
          </w:p>
        </w:tc>
      </w:tr>
      <w:tr>
        <w:tc>
          <w:tcPr>
            <w:tcW w:type="dxa" w:w="1181"/>
            <w:vAlign w:val="center"/>
          </w:tcPr>
          <w:p>
            <w:pPr>
              <w:jc w:val="center"/>
            </w:pPr>
            <w:r/>
            <w:r>
              <w:rPr>
                <w:rFonts w:ascii="Arial" w:hAnsi="Arial"/>
                <w:b w:val="0"/>
                <w:sz w:val="12"/>
              </w:rPr>
              <w:t>Iranische Diaspora und Oppositionspolitik</w:t>
            </w:r>
          </w:p>
        </w:tc>
        <w:tc>
          <w:tcPr>
            <w:tcW w:type="dxa" w:w="1181"/>
            <w:vAlign w:val="center"/>
          </w:tcPr>
          <w:p>
            <w:pPr>
              <w:jc w:val="center"/>
            </w:pPr>
            <w:r/>
            <w:r>
              <w:rPr>
                <w:rFonts w:ascii="Arial" w:hAnsi="Arial"/>
                <w:b w:val="0"/>
                <w:sz w:val="12"/>
              </w:rPr>
              <w:t>Wissensressourcen mittel bis hoch</w:t>
            </w:r>
          </w:p>
        </w:tc>
        <w:tc>
          <w:tcPr>
            <w:tcW w:type="dxa" w:w="1181"/>
            <w:vAlign w:val="center"/>
          </w:tcPr>
          <w:p>
            <w:pPr>
              <w:jc w:val="center"/>
            </w:pPr>
            <w:r/>
            <w:r>
              <w:rPr>
                <w:rFonts w:ascii="Arial" w:hAnsi="Arial"/>
                <w:b w:val="0"/>
                <w:sz w:val="12"/>
              </w:rPr>
              <w:t>Niedrige Institutionalisierung</w:t>
            </w:r>
          </w:p>
        </w:tc>
        <w:tc>
          <w:tcPr>
            <w:tcW w:type="dxa" w:w="1181"/>
            <w:vAlign w:val="center"/>
          </w:tcPr>
          <w:p>
            <w:pPr>
              <w:jc w:val="center"/>
            </w:pPr>
            <w:r/>
            <w:r>
              <w:rPr>
                <w:rFonts w:ascii="Arial" w:hAnsi="Arial"/>
                <w:b w:val="0"/>
                <w:sz w:val="12"/>
              </w:rPr>
              <w:t>Niedrig bis mittel</w:t>
            </w:r>
          </w:p>
        </w:tc>
        <w:tc>
          <w:tcPr>
            <w:tcW w:type="dxa" w:w="1181"/>
            <w:vAlign w:val="center"/>
          </w:tcPr>
          <w:p>
            <w:pPr>
              <w:jc w:val="center"/>
            </w:pPr>
            <w:r/>
            <w:r>
              <w:rPr>
                <w:rFonts w:ascii="Arial" w:hAnsi="Arial"/>
                <w:b w:val="0"/>
                <w:sz w:val="12"/>
              </w:rPr>
              <w:t>Niedrig</w:t>
            </w:r>
          </w:p>
        </w:tc>
        <w:tc>
          <w:tcPr>
            <w:tcW w:type="dxa" w:w="1181"/>
            <w:vAlign w:val="center"/>
          </w:tcPr>
          <w:p>
            <w:pPr>
              <w:jc w:val="center"/>
            </w:pPr>
            <w:r/>
            <w:r>
              <w:rPr>
                <w:rFonts w:ascii="Arial" w:hAnsi="Arial"/>
                <w:b w:val="0"/>
                <w:sz w:val="12"/>
              </w:rPr>
              <w:t>1,5</w:t>
            </w:r>
          </w:p>
        </w:tc>
        <w:tc>
          <w:tcPr>
            <w:tcW w:type="dxa" w:w="1181"/>
            <w:vAlign w:val="center"/>
          </w:tcPr>
          <w:p>
            <w:pPr>
              <w:jc w:val="center"/>
            </w:pPr>
            <w:r/>
            <w:r>
              <w:rPr>
                <w:rFonts w:ascii="Arial" w:hAnsi="Arial"/>
                <w:b w:val="0"/>
                <w:sz w:val="12"/>
              </w:rPr>
              <w:t>Mittel bis hoch: Emotionalismus/Inszenierung</w:t>
            </w:r>
          </w:p>
        </w:tc>
        <w:tc>
          <w:tcPr>
            <w:tcW w:type="dxa" w:w="1181"/>
            <w:vAlign w:val="center"/>
          </w:tcPr>
          <w:p>
            <w:pPr>
              <w:jc w:val="center"/>
            </w:pPr>
            <w:r/>
            <w:r>
              <w:rPr>
                <w:rFonts w:ascii="Arial" w:hAnsi="Arial"/>
                <w:b w:val="0"/>
                <w:sz w:val="12"/>
              </w:rPr>
              <w:t>Fragmentiert</w:t>
            </w:r>
          </w:p>
        </w:tc>
      </w:tr>
      <w:tr>
        <w:tc>
          <w:tcPr>
            <w:tcW w:type="dxa" w:w="1181"/>
            <w:vAlign w:val="center"/>
            <w:shd w:fill="F7F7F7"/>
          </w:tcPr>
          <w:p>
            <w:pPr>
              <w:jc w:val="center"/>
            </w:pPr>
            <w:r/>
            <w:r>
              <w:rPr>
                <w:rFonts w:ascii="Arial" w:hAnsi="Arial"/>
                <w:b w:val="0"/>
                <w:sz w:val="12"/>
              </w:rPr>
              <w:t>Künftiges rationales nationales Modell</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Hoch</w:t>
            </w:r>
          </w:p>
        </w:tc>
        <w:tc>
          <w:tcPr>
            <w:tcW w:type="dxa" w:w="1181"/>
            <w:vAlign w:val="center"/>
            <w:shd w:fill="F7F7F7"/>
          </w:tcPr>
          <w:p>
            <w:pPr>
              <w:jc w:val="center"/>
            </w:pPr>
            <w:r/>
            <w:r>
              <w:rPr>
                <w:rFonts w:ascii="Arial" w:hAnsi="Arial"/>
                <w:b w:val="0"/>
                <w:sz w:val="12"/>
              </w:rPr>
              <w:t>3,0</w:t>
            </w:r>
          </w:p>
        </w:tc>
        <w:tc>
          <w:tcPr>
            <w:tcW w:type="dxa" w:w="1181"/>
            <w:vAlign w:val="center"/>
            <w:shd w:fill="F7F7F7"/>
          </w:tcPr>
          <w:p>
            <w:pPr>
              <w:jc w:val="center"/>
            </w:pPr>
            <w:r/>
            <w:r>
              <w:rPr>
                <w:rFonts w:ascii="Arial" w:hAnsi="Arial"/>
                <w:b w:val="0"/>
                <w:sz w:val="12"/>
              </w:rPr>
              <w:t>Niedrig</w:t>
            </w:r>
          </w:p>
        </w:tc>
        <w:tc>
          <w:tcPr>
            <w:tcW w:type="dxa" w:w="1181"/>
            <w:vAlign w:val="center"/>
            <w:shd w:fill="F7F7F7"/>
          </w:tcPr>
          <w:p>
            <w:pPr>
              <w:jc w:val="center"/>
            </w:pPr>
            <w:r/>
            <w:r>
              <w:rPr>
                <w:rFonts w:ascii="Arial" w:hAnsi="Arial"/>
                <w:b w:val="0"/>
                <w:sz w:val="12"/>
              </w:rPr>
              <w:t>Optimales Modell</w:t>
            </w:r>
          </w:p>
        </w:tc>
      </w:tr>
    </w:tbl>
    <w:p>
      <w:r>
        <w:rPr>
          <w:rFonts w:ascii="Arial" w:hAnsi="Arial"/>
          <w:b w:val="0"/>
          <w:i/>
          <w:sz w:val="21"/>
        </w:rPr>
        <w:t>Erläuterung: Der Rationalitätsindex ist ein qualitativer Durchschnitt aus wissenschaftlicher Kapazität, administrativem Wissen, Beratung, Denken und Erprobung/Lernen. Der Index nicht-rationaler Einflüsse bezeichnet das relative Gewicht unantastbarer politisierter Religion, von Aberglauben, Emotionalismus und politischem Theater. Die Tabelle ist als konzeptionelles Modell zu verstehen, nicht als endgültige statistische Behauptung.</w:t>
      </w:r>
    </w:p>
    <w:p>
      <w:pPr>
        <w:pStyle w:val="Heading1"/>
      </w:pPr>
      <w:r>
        <w:rPr>
          <w:rFonts w:ascii="Arial" w:hAnsi="Arial"/>
          <w:b w:val="0"/>
          <w:i w:val="0"/>
          <w:sz w:val="22"/>
        </w:rPr>
        <w:t>Analyse nach Perioden</w:t>
      </w:r>
    </w:p>
    <w:p>
      <w:pPr>
        <w:pStyle w:val="Heading2"/>
      </w:pPr>
      <w:r>
        <w:rPr>
          <w:rFonts w:ascii="Arial" w:hAnsi="Arial"/>
          <w:b w:val="0"/>
          <w:i w:val="0"/>
          <w:sz w:val="22"/>
        </w:rPr>
        <w:t>1. Die Achämeniden: Praktische Rationalität des Reiches</w:t>
      </w:r>
    </w:p>
    <w:p>
      <w:r>
        <w:rPr>
          <w:rFonts w:ascii="Arial" w:hAnsi="Arial"/>
          <w:b w:val="0"/>
          <w:i w:val="0"/>
          <w:sz w:val="21"/>
        </w:rPr>
        <w:t>Der achämenidische Staat konnte ein riesiges Gebiet nicht allein durch Emotion, Stamm oder sakrale Rhetorik verwalten. Das Satrapiensystem, Straßen, Steuern, imperiale Kommunikation, Inschriften, Verwaltungssprachen und die Anpassung an lokale Traditionen zeigen ein hohes Maß an praktischer Rationalität. Dies war kein philosophischer Rationalismus im platonischen Sinn; es war administrative Vernunft im imperialen Maßstab. Die wichtigste Grenze lag im Fehlen breiter öffentlicher Beratung. Entscheidungsfindung blieb königlich und hierarchisch.</w:t>
      </w:r>
    </w:p>
    <w:p>
      <w:pPr>
        <w:pStyle w:val="Heading2"/>
      </w:pPr>
      <w:r>
        <w:rPr>
          <w:rFonts w:ascii="Arial" w:hAnsi="Arial"/>
          <w:b w:val="0"/>
          <w:i w:val="0"/>
          <w:sz w:val="22"/>
        </w:rPr>
        <w:t>2. Die Sasaniden: Starke Bürokratie und das Risiko ideologischer Verhärtung</w:t>
      </w:r>
    </w:p>
    <w:p>
      <w:r>
        <w:rPr>
          <w:rFonts w:ascii="Arial" w:hAnsi="Arial"/>
          <w:b w:val="0"/>
          <w:i w:val="0"/>
          <w:sz w:val="21"/>
        </w:rPr>
        <w:t>Die sasanidische Periode ist wichtig wegen zentralisierter Verwaltung, Recht, Heeresorganisation, Besteuerung, Stadtentwicklung und der Verbindung von Macht und offiziellem Wissen. Als Staat und offizielle Religion jedoch enger miteinander verschmolzen, wurde interne Kritik schwieriger. In einer solchen Struktur existiert Wissen, doch es wird durch sakrale Legitimität begrenzt. Das Ergebnis ist eine relativ hohe administrative Rationalität in Verbindung mit dem Risiko ideologischer Starrheit.</w:t>
      </w:r>
    </w:p>
    <w:p>
      <w:pPr>
        <w:pStyle w:val="Heading2"/>
      </w:pPr>
      <w:r>
        <w:rPr>
          <w:rFonts w:ascii="Arial" w:hAnsi="Arial"/>
          <w:b w:val="0"/>
          <w:i w:val="0"/>
          <w:sz w:val="22"/>
        </w:rPr>
        <w:t>3. Die islamisch-iranische Periode: Wissenschaftliche Blüte und die Dualität von Vernunft und Legitimität</w:t>
      </w:r>
    </w:p>
    <w:p>
      <w:r>
        <w:rPr>
          <w:rFonts w:ascii="Arial" w:hAnsi="Arial"/>
          <w:b w:val="0"/>
          <w:i w:val="0"/>
          <w:sz w:val="21"/>
        </w:rPr>
        <w:t>In den frühen islamischen Jahrhunderten, besonders in den abbasidischen und iranischen intellektuellen Räumen, entwickelten sich Übersetzung, Medizin, Mathematik, Philosophie, Astronomie und Bürokratie stark. Die iranische Beteiligung an Verwaltung und Wissensproduktion war bedeutsam. Gleichzeitig entstand eine Grundspannung zwischen philosophischer Vernunft, Theologie, Rechtslehre und politischer Legitimität. Die Periode brachte außergewöhnliche intellektuelle Leistungen hervor, doch der institutionelle Schutz kritischer Vernunft blieb ungleichmäßig.</w:t>
      </w:r>
    </w:p>
    <w:p>
      <w:pPr>
        <w:pStyle w:val="Heading2"/>
      </w:pPr>
      <w:r>
        <w:rPr>
          <w:rFonts w:ascii="Arial" w:hAnsi="Arial"/>
          <w:b w:val="0"/>
          <w:i w:val="0"/>
          <w:sz w:val="22"/>
        </w:rPr>
        <w:t>4. Samaniden, Buyiden und Seldschuken: Relatives Gleichgewicht zwischen Kultur, Religion und Verwaltung</w:t>
      </w:r>
    </w:p>
    <w:p>
      <w:r>
        <w:rPr>
          <w:rFonts w:ascii="Arial" w:hAnsi="Arial"/>
          <w:b w:val="0"/>
          <w:i w:val="0"/>
          <w:sz w:val="21"/>
        </w:rPr>
        <w:t>Die Samaniden und Buyiden spielten eine Schlüsselrolle bei der Wiederbelebung der persischen Sprache und beim Wachstum von Philosophie, Medizin und Literatur. Die Seldschuken bieten, besonders durch Nizam al-Mulk und das Siyasat-nama, ein wichtiges Beispiel beratender und administrativer Rationalität. Dennoch waren Entscheidungsinstitutionen nicht unabhängig im modernen Sinn; sie blieben anfällig für Hofpolitik, militärische Macht und religiöse Autorität.</w:t>
      </w:r>
    </w:p>
    <w:p>
      <w:pPr>
        <w:pStyle w:val="Heading2"/>
      </w:pPr>
      <w:r>
        <w:rPr>
          <w:rFonts w:ascii="Arial" w:hAnsi="Arial"/>
          <w:b w:val="0"/>
          <w:i w:val="0"/>
          <w:sz w:val="22"/>
        </w:rPr>
        <w:t>5. Mongolische, ilchanidische und timuridische Perioden: Zerstörung, Erholung und hofabhängiges Wissen</w:t>
      </w:r>
    </w:p>
    <w:p>
      <w:r>
        <w:rPr>
          <w:rFonts w:ascii="Arial" w:hAnsi="Arial"/>
          <w:b w:val="0"/>
          <w:i w:val="0"/>
          <w:sz w:val="21"/>
        </w:rPr>
        <w:t>Die mongolische Invasion beschädigte städtische und gelehrte Institutionen schwer. Nach der Stabilisierung unter den Ilchanen erholten sich jedoch Geschichtsschreibung, Astronomie, Verwaltung und bestimmte Wissenschaften. Unter den Timuriden blühten Kunst, Mathematik, Astronomie und Architektur. Die zentrale Schwäche bestand darin, dass Wissen häufig von höfischer Förderung abhängig war, statt durch stabile und autonome Institutionen geschützt zu sein. Rationalität existierte, aber sie war fragil.</w:t>
      </w:r>
    </w:p>
    <w:p>
      <w:pPr>
        <w:pStyle w:val="Heading2"/>
      </w:pPr>
      <w:r>
        <w:rPr>
          <w:rFonts w:ascii="Arial" w:hAnsi="Arial"/>
          <w:b w:val="0"/>
          <w:i w:val="0"/>
          <w:sz w:val="22"/>
        </w:rPr>
        <w:t>6. Die Safawiden: Wiederaufbau des politischen Iran bei gleichzeitiger Religiosierung der Entscheidungsfindung</w:t>
      </w:r>
    </w:p>
    <w:p>
      <w:r>
        <w:rPr>
          <w:rFonts w:ascii="Arial" w:hAnsi="Arial"/>
          <w:b w:val="0"/>
          <w:i w:val="0"/>
          <w:sz w:val="21"/>
        </w:rPr>
        <w:t>Die safawidische Periode ist entscheidend für die Wiederherstellung Irans als politische Einheit. Staatsbildung, Bürokratie und territoriale Einheit waren große Leistungen. Doch die Offizialisierung des Schiismus und die direkte Verschmelzung politischer Legitimität mit Religion drängten Entscheidungsfindung zunehmend in einen sakral-ideologischen Rahmen. Der safawidische Staat machte Iran politisch kohärent, verengte aber in vielen Bereichen den Raum für pluralistisches Denken und institutionelle Kritik.</w:t>
      </w:r>
    </w:p>
    <w:p>
      <w:pPr>
        <w:pStyle w:val="Heading2"/>
      </w:pPr>
      <w:r>
        <w:rPr>
          <w:rFonts w:ascii="Arial" w:hAnsi="Arial"/>
          <w:b w:val="0"/>
          <w:i w:val="0"/>
          <w:sz w:val="22"/>
        </w:rPr>
        <w:t>7. Die Qadscharenzeit: Die Kluft zwischen der neuen Welt und dem traditionellen Staat</w:t>
      </w:r>
    </w:p>
    <w:p>
      <w:r>
        <w:rPr>
          <w:rFonts w:ascii="Arial" w:hAnsi="Arial"/>
          <w:b w:val="0"/>
          <w:i w:val="0"/>
          <w:sz w:val="21"/>
        </w:rPr>
        <w:t>Der qadscharische Staat sah sich moderner Wissenschaft, europäischem imperialem Druck, neuer Militärtechnologie und dem modernen bürokratischen Staat gegenüber, verfügte aber nicht über die institutionelle Fähigkeit, rational darauf zu antworten. Die Reformen Amir Kabirs zeigten, dass rationale Staatskunst möglich war; doch solche Reformen wurden nicht durch dauerhafte Institutionen geschützt. Hofintrigen, ausländischer Druck, schwache Verwaltung und Aberglaube verhinderten systematisches Lernen.</w:t>
      </w:r>
    </w:p>
    <w:p>
      <w:pPr>
        <w:pStyle w:val="Heading2"/>
      </w:pPr>
      <w:r>
        <w:rPr>
          <w:rFonts w:ascii="Arial" w:hAnsi="Arial"/>
          <w:b w:val="0"/>
          <w:i w:val="0"/>
          <w:sz w:val="22"/>
        </w:rPr>
        <w:t>8. Die Konstitutionelle Revolution und die Pahlavi-Periode: Recht und moderne Wissenschaft, aber begrenzte nachhaltige Kritik</w:t>
      </w:r>
    </w:p>
    <w:p>
      <w:r>
        <w:rPr>
          <w:rFonts w:ascii="Arial" w:hAnsi="Arial"/>
          <w:b w:val="0"/>
          <w:i w:val="0"/>
          <w:sz w:val="21"/>
        </w:rPr>
        <w:t>Die Konstitutionelle Revolution war der größte iranische Versuch, politische Vernunft in Recht, Parlament, Presse und öffentliche Kontrolle zu übersetzen. Die Pahlavi-Periode erweiterte Bildung, Armee, Bürokratie, Universitäten und den modernen Staat. Zentralisierung der Macht, schwache Parteien, begrenzter Pluralismus und die Fragilität öffentlicher Rechenschaft begrenzten jedoch die volle Entwicklung institutioneller Rationalität. Die Modernisierung schritt voran, aber der Rückkopplungsmechanismus blieb unvollständig.</w:t>
      </w:r>
    </w:p>
    <w:p>
      <w:pPr>
        <w:pStyle w:val="Heading2"/>
      </w:pPr>
      <w:r>
        <w:rPr>
          <w:rFonts w:ascii="Arial" w:hAnsi="Arial"/>
          <w:b w:val="0"/>
          <w:i w:val="0"/>
          <w:sz w:val="22"/>
        </w:rPr>
        <w:t>9. Die Islamische Republik: Technisches Wissen ohne öffentliche politische Rationalität</w:t>
      </w:r>
    </w:p>
    <w:p>
      <w:r>
        <w:rPr>
          <w:rFonts w:ascii="Arial" w:hAnsi="Arial"/>
          <w:b w:val="0"/>
          <w:i w:val="0"/>
          <w:sz w:val="21"/>
        </w:rPr>
        <w:t>In der Islamischen Republik müssen technische Kapazität und öffentliche politische Rationalität voneinander getrennt werden. In Bereichen wie Medizin, Ingenieurwesen, Militärindustrien und Technologie bestehen erhebliche Kapazitäten. Entscheidungen auf der Makroebene sind jedoch häufig ideologisch, sicherheitsgetrieben, intransparent und korrekturresistent. Das Ergebnis ist ein System, das Expertise hervorbringen kann, Wissen aber nicht zuverlässig in rechenschaftspflichtige öffentliche Politik übersetzt. Genau dies ist der Zustand, in dem Wissenschaft als Technik existiert, während politische Vernunft der Ideologie untergeordnet wird.</w:t>
      </w:r>
    </w:p>
    <w:p>
      <w:pPr>
        <w:pStyle w:val="Heading1"/>
      </w:pPr>
      <w:r>
        <w:rPr>
          <w:rFonts w:ascii="Arial" w:hAnsi="Arial"/>
          <w:b w:val="0"/>
          <w:i w:val="0"/>
          <w:sz w:val="22"/>
        </w:rPr>
        <w:t>Ein vorgeschlagenes Modell nationaler Rationalität</w:t>
      </w:r>
    </w:p>
    <w:p>
      <w:r>
        <w:rPr>
          <w:rFonts w:ascii="Arial" w:hAnsi="Arial"/>
          <w:b w:val="0"/>
          <w:i w:val="0"/>
          <w:sz w:val="21"/>
        </w:rPr>
        <w:t>Um dem historischen Zyklus von Bruch und Diskontinuität zu entkommen, braucht der künftige Iran ein nationales System der Entscheidungsfindung. Ein solches System muss Entscheidungen von demonstrativer Loyalität, kollektivem Zorn, persönlichem Charisma, Sakralisierung und parolenbasierter Mobilisierung trennen. Es muss Entscheidungen an Daten, Beratung, Erprobung, Transparenz, Korrektur und institutionelles Gedächtnis binden.</w:t>
      </w:r>
    </w:p>
    <w:p>
      <w:r>
        <w:rPr>
          <w:rFonts w:ascii="Arial" w:hAnsi="Arial"/>
          <w:b w:val="0"/>
          <w:i w:val="0"/>
          <w:sz w:val="21"/>
        </w:rPr>
        <w:t>Dieses System sollte mehrere Grundsätze enthalten. Erstens muss jede große Entscheidung problemzentriert und nicht persönlichkeitszentriert sein. Zweitens muss jede Behauptung Quellen, Evidenz und die Möglichkeit der Kritik haben. Drittens muss Beratung institutionell sein und nicht fraktionell oder informell. Viertens muss jede Politik vor nationaler Umsetzung in kleinerem Maßstab getestet werden. Fünftens darf Scheitern nicht verborgen werden; es muss dokumentiert, analysiert und als Quelle künftigen Lernens genutzt werden. Sechstens kann emotionale Mobilisierung Energie erzeugen, aber sie kann rationales Design nicht ersetzen.</w:t>
      </w:r>
    </w:p>
    <w:p>
      <w:r>
        <w:rPr>
          <w:rFonts w:ascii="Arial" w:hAnsi="Arial"/>
          <w:b w:val="0"/>
          <w:i w:val="0"/>
          <w:sz w:val="21"/>
        </w:rPr>
        <w:t>In diesem Sinn bedeutet eine Rückkehr zu iranischer Größe keine romantische Rückkehr in die Vergangenheit. Sie bedeutet die Wiedergewinnung jenes Teils der iranischen Tradition, der Imperien bauen, Sprache und Kultur bewahren, Wissen übersetzen, Recht einfordern, Bürokratie schaffen, Universitäten gründen und konstitutionelle Regierung anstreben konnte. Die Zukunft Irans hängt nicht nur von Mut oder Loyalität ab, sondern vom Wiederaufbau des Mechanismus des Denkens.</w:t>
      </w:r>
    </w:p>
    <w:p>
      <w:pPr>
        <w:pStyle w:val="Heading1"/>
      </w:pPr>
      <w:r>
        <w:rPr>
          <w:rFonts w:ascii="Arial" w:hAnsi="Arial"/>
          <w:b w:val="0"/>
          <w:i w:val="0"/>
          <w:sz w:val="22"/>
        </w:rPr>
        <w:t>Schlussfolgerung</w:t>
      </w:r>
    </w:p>
    <w:p>
      <w:r>
        <w:rPr>
          <w:rFonts w:ascii="Arial" w:hAnsi="Arial"/>
          <w:b w:val="0"/>
          <w:i w:val="0"/>
          <w:sz w:val="21"/>
        </w:rPr>
        <w:t>Die iranische Geschichte zeigt, dass Iran immer dann im großen Maßstab handeln konnte, wenn Rationalität institutionalisiert wurde: von der achämenidischen Reichsverwaltung über die sasanidische Bürokratie, von der wissenschaftlichen Blüte der islamisch-iranischen Welt bis zur Konstitutionellen Revolution und moderner Bildung. Umgekehrt verlor Iran seine Lernfähigkeit immer dann, wenn Entscheidungsfindung von Sakralisierung, Aberglauben, Hofintrigen, ideologischer Schließung oder politischer Inszenierung erfasst wurde.</w:t>
      </w:r>
    </w:p>
    <w:p>
      <w:r>
        <w:rPr>
          <w:rFonts w:ascii="Arial" w:hAnsi="Arial"/>
          <w:b w:val="0"/>
          <w:i w:val="0"/>
          <w:sz w:val="21"/>
        </w:rPr>
        <w:t>Die zentrale Lehre lautet, dass nationaler Erfolg nicht allein aus Emotion entsteht. Emotion kann Bewegungen entzünden, aber nur Vernunft kann sie führen. Beratung, Erprobung, Dokumentation und institutionelles Lernen bilden die Brücke zwischen politischem Wunsch und historischer Leistung. Die wissenschaftliche Untersuchung der iranischen Vergangenheit ist daher keine antiquarische Übung; sie ist ein praktischer Leitfaden für den Aufbau eines künftigen Staates, der denken, lernen und sich selbst korrigieren kann.</w:t>
      </w:r>
    </w:p>
    <w:p>
      <w:pPr>
        <w:pStyle w:val="Heading1"/>
      </w:pPr>
      <w:r>
        <w:rPr>
          <w:rFonts w:ascii="Arial" w:hAnsi="Arial"/>
          <w:b w:val="0"/>
          <w:i w:val="0"/>
          <w:sz w:val="22"/>
        </w:rPr>
        <w:t>Ausgewählte Quellen</w:t>
      </w:r>
    </w:p>
    <w:p>
      <w:pPr>
        <w:ind w:left="288" w:hanging="288"/>
      </w:pPr>
      <w:r>
        <w:rPr>
          <w:rFonts w:ascii="Arial" w:hAnsi="Arial"/>
          <w:sz w:val="19"/>
        </w:rPr>
        <w:t>• Kraut, Richard. „Plato.“ Stanford Encyclopedia of Philosophy. Zu Platon, Wissen, Ethik und der Rolle des Dialogs in der klassischen Philosophie.</w:t>
      </w:r>
    </w:p>
    <w:p>
      <w:pPr>
        <w:ind w:left="288" w:hanging="288"/>
      </w:pPr>
      <w:r>
        <w:rPr>
          <w:rFonts w:ascii="Arial" w:hAnsi="Arial"/>
          <w:sz w:val="19"/>
        </w:rPr>
        <w:t>• Silverman, Allan. „Plato’s Middle Period Metaphysics and Epistemology.“ Stanford Encyclopedia of Philosophy. Zum Verhältnis von Wissen, Ethik und Metaphysik bei Platon.</w:t>
      </w:r>
    </w:p>
    <w:p>
      <w:pPr>
        <w:ind w:left="288" w:hanging="288"/>
      </w:pPr>
      <w:r>
        <w:rPr>
          <w:rFonts w:ascii="Arial" w:hAnsi="Arial"/>
          <w:sz w:val="19"/>
        </w:rPr>
        <w:t>• „Achaemenid Dynasty.“ Encyclopaedia Iranica. Zur politischen Struktur und zu den Verwaltungszentren des Achämenidenreiches.</w:t>
      </w:r>
    </w:p>
    <w:p>
      <w:pPr>
        <w:ind w:left="288" w:hanging="288"/>
      </w:pPr>
      <w:r>
        <w:rPr>
          <w:rFonts w:ascii="Arial" w:hAnsi="Arial"/>
          <w:sz w:val="19"/>
        </w:rPr>
        <w:t>• „Achaemenid Satrapies.“ Encyclopaedia Iranica. Zu Satrapien, Besteuerung, Militärorganisation und territorialer Kontrolle.</w:t>
      </w:r>
    </w:p>
    <w:p>
      <w:pPr>
        <w:ind w:left="288" w:hanging="288"/>
      </w:pPr>
      <w:r>
        <w:rPr>
          <w:rFonts w:ascii="Arial" w:hAnsi="Arial"/>
          <w:sz w:val="19"/>
        </w:rPr>
        <w:t>• „Sasanian Dynasty.“ Encyclopaedia Iranica. Zum sasanidischen Staat und seinem Platz in der vorislamischen iranischen Geschichte.</w:t>
      </w:r>
    </w:p>
    <w:p>
      <w:pPr>
        <w:ind w:left="288" w:hanging="288"/>
      </w:pPr>
      <w:r>
        <w:rPr>
          <w:rFonts w:ascii="Arial" w:hAnsi="Arial"/>
          <w:sz w:val="19"/>
        </w:rPr>
        <w:t>• „Greek Medicine in Persia.“ Encyclopaedia Iranica. Zur Übertragung griechischen medizinischen Wissens und zu Übersetzungsbewegungen in der iranisch-islamischen Welt.</w:t>
      </w:r>
    </w:p>
    <w:p>
      <w:pPr>
        <w:ind w:left="288" w:hanging="288"/>
      </w:pPr>
      <w:r>
        <w:rPr>
          <w:rFonts w:ascii="Arial" w:hAnsi="Arial"/>
          <w:sz w:val="19"/>
        </w:rPr>
        <w:t>• Yavari, Neguin. „Siar al-Moluk / Siyasat-nama.“ Encyclopaedia Iranica. Zu Nizam al-Mulk und der persischen Tradition von Fürstenspiegeln und Staatskunst.</w:t>
      </w:r>
    </w:p>
    <w:p>
      <w:pPr>
        <w:ind w:left="288" w:hanging="288"/>
      </w:pPr>
      <w:r>
        <w:rPr>
          <w:rFonts w:ascii="Arial" w:hAnsi="Arial"/>
          <w:sz w:val="19"/>
        </w:rPr>
        <w:t>• „Constitutional Revolution.“ Encyclopaedia Iranica. Zur konstitutionellen Bewegung, zum Parlament und zur Verfassung von 1906–1907.</w:t>
      </w:r>
    </w:p>
    <w:p>
      <w:pPr>
        <w:ind w:left="288" w:hanging="288"/>
      </w:pPr>
      <w:r>
        <w:rPr>
          <w:rFonts w:ascii="Arial" w:hAnsi="Arial"/>
          <w:sz w:val="19"/>
        </w:rPr>
        <w:t>• „Administration in Iran vii. Pahlavi Period.“ Encyclopaedia Iranica. Zum modernen Staat, Recht und Bürokratie in der Pahlavi-Periode.</w:t>
      </w:r>
    </w:p>
    <w:p>
      <w:pPr>
        <w:ind w:left="288" w:hanging="288"/>
      </w:pPr>
      <w:r>
        <w:rPr>
          <w:rFonts w:ascii="Arial" w:hAnsi="Arial"/>
          <w:sz w:val="19"/>
        </w:rPr>
        <w:t>• „Safavid Dynasty“ und „Shiism in Iran since the Safavids.“ Encyclopaedia Iranica / Britannica. Zur Offizialisierung des Schiismus und zur safawidischen Staatsbildung.</w:t>
      </w:r>
    </w:p>
    <w:sectPr w:rsidR="00FC693F" w:rsidRPr="0006063C" w:rsidSect="00034616">
      <w:footerReference w:type="default" r:id="rId9"/>
      <w:pgSz w:w="12240" w:h="15840"/>
      <w:pgMar w:top="864" w:right="792" w:bottom="86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Historische Bewertung von Rationalität und Entscheidungsfindung im Iran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