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before="80"/>
        <w:jc w:val="center"/>
        <w:widowControl w:val="1"/>
      </w:pPr>
      <w:r>
        <w:rPr>
          <w:rFonts w:ascii="Noto Sans Arabic" w:hAnsi="Noto Sans Arabic" w:cs="Noto Sans Arabic" w:eastAsia="Noto Sans Arabic"/>
          <w:b/>
          <w:color w:val="121212"/>
          <w:sz w:val="50"/>
          <w:rtl w:val="1"/>
          <w:lang w:bidi="fa-IR"/>
        </w:rPr>
        <w:t>از کفِ موج تا خیزش دوباره ایران</w:t>
      </w:r>
    </w:p>
    <w:p>
      <w:pPr>
        <w:bidi w:val="1"/>
        <w:spacing w:before="60" w:after="160"/>
        <w:jc w:val="center"/>
        <w:widowControl w:val="1"/>
      </w:pPr>
      <w:r>
        <w:rPr>
          <w:rFonts w:ascii="Noto Naskh Arabic" w:hAnsi="Noto Naskh Arabic" w:cs="Noto Naskh Arabic" w:eastAsia="Noto Naskh Arabic"/>
          <w:b/>
          <w:color w:val="373737"/>
          <w:sz w:val="31"/>
          <w:rtl w:val="1"/>
          <w:lang w:bidi="fa-IR"/>
        </w:rPr>
        <w:t>مدلی موجی برای فهم چرخه‌های تاریخیِ تمدن، بحران مشروعیت،</w:t>
        <w:br/>
        <w:t>بازتعریف اخلاق و امکان نوزایی ملی</w:t>
      </w:r>
    </w:p>
    <w:p>
      <w:pPr>
        <w:bidi w:val="1"/>
        <w:spacing w:after="180"/>
        <w:jc w:val="center"/>
        <w:widowControl w:val="1"/>
      </w:pPr>
      <w:r>
        <w:rPr>
          <w:rFonts w:ascii="Noto Naskh Arabic" w:hAnsi="Noto Naskh Arabic" w:cs="Noto Naskh Arabic" w:eastAsia="Noto Naskh Arabic"/>
          <w:b/>
          <w:color w:val="373737"/>
          <w:sz w:val="25"/>
          <w:rtl w:val="1"/>
          <w:lang w:bidi="fa-IR"/>
        </w:rPr>
        <w:t>نویسنده: پیمان بخشایش، جراح تراما، MD, PhD, MBA</w:t>
      </w:r>
    </w:p>
    <w:p>
      <w:pPr>
        <w:jc w:val="center"/>
        <w:bidi w:val="1"/>
        <w:widowControl w:val="1"/>
      </w:pPr>
      <w:r>
        <w:drawing>
          <wp:inline xmlns:a="http://schemas.openxmlformats.org/drawingml/2006/main" xmlns:pic="http://schemas.openxmlformats.org/drawingml/2006/picture">
            <wp:extent cx="5940000" cy="3960000"/>
            <wp:docPr id="1" name="Picture 1" title="تصویر مفهومی خیزش دوباره ایران" descr="بازنمایی هنری از چرخه افول، کف موج و نوزایی ایران با پرچم شیر و خورشید."/>
            <wp:cNvGraphicFramePr>
              <a:graphicFrameLocks noChangeAspect="1"/>
            </wp:cNvGraphicFramePr>
            <a:graphic>
              <a:graphicData uri="http://schemas.openxmlformats.org/drawingml/2006/picture">
                <pic:pic>
                  <pic:nvPicPr>
                    <pic:cNvPr id="0" name="1E61B939-50C6-44F8-81E1-0B4783189BA5.jpeg"/>
                    <pic:cNvPicPr/>
                  </pic:nvPicPr>
                  <pic:blipFill>
                    <a:blip r:embed="rId11"/>
                    <a:stretch>
                      <a:fillRect/>
                    </a:stretch>
                  </pic:blipFill>
                  <pic:spPr>
                    <a:xfrm>
                      <a:off x="0" y="0"/>
                      <a:ext cx="5940000" cy="3960000"/>
                    </a:xfrm>
                    <a:prstGeom prst="rect"/>
                  </pic:spPr>
                </pic:pic>
              </a:graphicData>
            </a:graphic>
          </wp:inline>
        </w:drawing>
      </w:r>
    </w:p>
    <w:p>
      <w:pPr>
        <w:bidi w:val="1"/>
        <w:spacing w:before="40" w:after="100"/>
        <w:jc w:val="center"/>
        <w:widowControl w:val="1"/>
      </w:pPr>
      <w:r>
        <w:rPr>
          <w:rFonts w:ascii="Noto Naskh Arabic" w:hAnsi="Noto Naskh Arabic" w:cs="Noto Naskh Arabic" w:eastAsia="Noto Naskh Arabic"/>
          <w:i/>
          <w:color w:val="5F5F5F"/>
          <w:sz w:val="19"/>
          <w:rtl w:val="1"/>
          <w:lang w:bidi="fa-IR"/>
        </w:rPr>
        <w:t>تصویر مفهومیِ چرخه افول، بازتعریف و نوزایی ایران</w:t>
      </w:r>
    </w:p>
    <w:p>
      <w:pPr>
        <w:bidi w:val="1"/>
        <w:spacing w:before="80"/>
        <w:jc w:val="center"/>
        <w:widowControl w:val="1"/>
      </w:pPr>
      <w:r>
        <w:rPr>
          <w:rFonts w:ascii="Noto Sans Arabic" w:hAnsi="Noto Sans Arabic" w:cs="Noto Sans Arabic" w:eastAsia="Noto Sans Arabic"/>
          <w:b/>
          <w:color w:val="464646"/>
          <w:sz w:val="22"/>
          <w:rtl w:val="1"/>
          <w:lang w:bidi="fa-IR"/>
        </w:rPr>
        <w:t>مقاله تحلیلی ـ تاریخی</w:t>
      </w:r>
    </w:p>
    <w:p>
      <w:pPr>
        <w:widowControl w:val="1"/>
      </w:pPr>
      <w:r>
        <w:br w:type="page"/>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چکیده</w:t>
      </w:r>
    </w:p>
    <w:p>
      <w:pPr>
        <w:keepNext w:val="0"/>
        <w:bidi w:val="1"/>
        <w:spacing w:line="300" w:lineRule="auto" w:after="110"/>
        <w:ind w:firstLine="0"/>
        <w:jc w:val="both"/>
        <w:widowControl w:val="1"/>
      </w:pPr>
      <w:r>
        <w:rPr>
          <w:rFonts w:ascii="Noto Naskh Arabic" w:hAnsi="Noto Naskh Arabic" w:cs="Noto Naskh Arabic" w:eastAsia="Noto Naskh Arabic"/>
          <w:b w:val="0"/>
          <w:sz w:val="24"/>
          <w:rtl w:val="1"/>
          <w:lang w:bidi="fa-IR"/>
        </w:rPr>
        <w:t>این مقاله می‌کوشد با استفاده از یک مدل مفهومیِ موج دریا، تاریخ تحول تمدن‌ها و به‌طور خاص فراز و فرودهای تاریخی ایران را تبیین کند. ایده اصلی آن است که جوامع و تمدن‌ها عموماً از چرخه‌هایی شامل برآمدن، شکوفایی، تمرکز قدرت و ثروت، کاهش پویایی تولید، افزایش نابرابری، افت مشروعیت، توسل به سرکوب و ایدئولوژی، فرسایش اخلاق عمومی، بازتعریف ارزش‌ها و نوزایی عبور می‌کنند. این الگو در اندیشه متفکرانی چون ابن‌خلدون، ویکو، اشپنگلر، توین‌بی، مارکس، شومپیتر، نورث، گلدستون و تورچین به اشکال مختلف دیده می‌شود. در این چارچوب، ایرانِ معاصر در مرحله‌ای قابل تفسیر است که می‌توان آن را نزدیکی به کف موج تاریخی نامید: مرحله‌ای که در آن بحران کارآمدی، فساد، فرسایش سرمایه اجتماعی و بن‌بست ایدئولوژیک، جامعه را به سوی بازتعریف اخلاق، نهادها و افق سیاسی سوق می‌دهد. مقاله استدلال می‌کند که بازسازی ایران نیازمند اخلاق عمومی نو، سکولاریسم سیاسی، توسعه صنعتی، حاکمیت قانون، برابری شهروندی، و روابط سازنده با اقتصادهای پیشرفته و بازیگران مهم منطقه‌ای و جهانی است. این مقاله یک تحلیل تفسیری ـ تاریخی است و مدل موج دریا را نه به‌عنوان قانون جبری، بلکه به‌عنوان ابزار فهم روندهای بزرگ تاریخی ارائه می‌کند.</w:t>
      </w:r>
    </w:p>
    <w:p>
      <w:pPr>
        <w:keepNext w:val="0"/>
        <w:bidi w:val="1"/>
        <w:spacing w:line="300" w:lineRule="auto" w:after="180"/>
        <w:ind w:firstLine="0"/>
        <w:jc w:val="right"/>
        <w:widowControl w:val="1"/>
      </w:pPr>
      <w:r>
        <w:rPr>
          <w:rFonts w:ascii="Noto Naskh Arabic" w:hAnsi="Noto Naskh Arabic" w:cs="Noto Naskh Arabic" w:eastAsia="Noto Naskh Arabic"/>
          <w:b/>
          <w:sz w:val="24"/>
          <w:rtl w:val="1"/>
          <w:lang w:bidi="fa-IR"/>
        </w:rPr>
        <w:t>واژگان کلیدی:</w:t>
      </w:r>
      <w:r>
        <w:rPr>
          <w:rFonts w:ascii="Noto Naskh Arabic" w:hAnsi="Noto Naskh Arabic" w:cs="Noto Naskh Arabic" w:eastAsia="Noto Naskh Arabic"/>
          <w:b w:val="0"/>
          <w:sz w:val="24"/>
          <w:rtl w:val="1"/>
          <w:lang w:bidi="fa-IR"/>
        </w:rPr>
        <w:t xml:space="preserve"> ایران، چرخه‌های تمدنی، موج دریا، مشروعیت، اخلاق عمومی، مذهب و قدرت، نوزایی ملی، توسعه صنعتی، سرمایه اجتماعی</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مقدمه</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تاریخ بشر را می‌توان به دریایی پهناور تشبیه کرد؛ دریایی که پیوسته در حرکت است و امواج آن، همانند تمدن‌ها، از دل شرایط مادی، فرهنگی، سیاسی و اخلاقی سر برمی‌آورند، نیرو می‌گیرند، اوج می‌گیرند، می‌شکنند و دوباره در شکلی نو بازمی‌گردند. در این نگاه، تاریخ نه خطی و نه کاملاً تصادفی است، بلکه متشکل از چرخه‌ها و بازآرایی‌های مکرر است. هر تمدن در آغاز از انرژی اجتماعی، خلاقیت، اعتماد و همبستگی برخوردار است؛ اما با گذشت زمان، تمرکز ثروت و قدرت، فرسودگی نهادها، نابرابری، رکود تولید و بحران مشروعیت می‌تواند همان تمدن را به مسیر افول بکشاند.</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این برداشت از تاریخ، هرچند در قالب‌های مختلف، سابقه‌ای طولانی در علوم انسانی دارد. از مفهوم عصبیت در اندیشه ابن‌خلدون تا چالش و پاسخ در نظریه توین‌بی، از تحلیل زوال غرب در اشپنگلر تا فهم مارکسیستیِ تناقض‌های درونی نظام تولید، همگی می‌کوشند توضیح دهند که چرا نظم‌های اجتماعی اوج می‌گیرند و سپس با بحران مواجه می‌شوند. در این مقاله، این سنت نظری در قالب استعاره و مدل موج دریا صورت‌بندی می‌شود تا بتوان فراز و نشیب‌های تاریخی ایران را نیز درون آن بازخوانی کرد.</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چارچوب نظری: تاریخ به مثابه موج</w:t>
      </w:r>
    </w:p>
    <w:p>
      <w:pPr>
        <w:keepNext w:val="0"/>
        <w:bidi w:val="1"/>
        <w:spacing w:line="300" w:lineRule="auto" w:after="110"/>
        <w:ind w:firstLine="0"/>
        <w:jc w:val="both"/>
        <w:widowControl w:val="1"/>
      </w:pPr>
      <w:r>
        <w:rPr>
          <w:rFonts w:ascii="Noto Naskh Arabic" w:hAnsi="Noto Naskh Arabic" w:cs="Noto Naskh Arabic" w:eastAsia="Noto Naskh Arabic"/>
          <w:b w:val="0"/>
          <w:sz w:val="24"/>
          <w:rtl w:val="1"/>
          <w:lang w:bidi="fa-IR"/>
        </w:rPr>
        <w:t>مدل موجیِ تاریخ در این مقاله بر این فرض استوار است که اغلب جوامع، هرچند با شدت و ضعف متفاوت، از روند زیر عبور می‌کنند:</w:t>
      </w:r>
    </w:p>
    <w:p>
      <w:pPr>
        <w:jc w:val="center"/>
        <w:bidi w:val="1"/>
        <w:widowControl w:val="1"/>
      </w:pPr>
      <w:r>
        <w:drawing>
          <wp:inline xmlns:a="http://schemas.openxmlformats.org/drawingml/2006/main" xmlns:pic="http://schemas.openxmlformats.org/drawingml/2006/picture">
            <wp:extent cx="5940000" cy="3312693"/>
            <wp:docPr id="2" name="Picture 2" title="مدل مفهومی موج تمدنی" descr="نمودار موجی مراحل برآمدن، شکوفایی، تمرکز قدرت، افول، بحران مشروعیت، کف موج و نوزایی را نشان می‌دهد."/>
            <wp:cNvGraphicFramePr>
              <a:graphicFrameLocks noChangeAspect="1"/>
            </wp:cNvGraphicFramePr>
            <a:graphic>
              <a:graphicData uri="http://schemas.openxmlformats.org/drawingml/2006/picture">
                <pic:pic>
                  <pic:nvPicPr>
                    <pic:cNvPr id="0" name="wave_model_fa.png"/>
                    <pic:cNvPicPr/>
                  </pic:nvPicPr>
                  <pic:blipFill>
                    <a:blip r:embed="rId12"/>
                    <a:stretch>
                      <a:fillRect/>
                    </a:stretch>
                  </pic:blipFill>
                  <pic:spPr>
                    <a:xfrm>
                      <a:off x="0" y="0"/>
                      <a:ext cx="5940000" cy="3312693"/>
                    </a:xfrm>
                    <a:prstGeom prst="rect"/>
                  </pic:spPr>
                </pic:pic>
              </a:graphicData>
            </a:graphic>
          </wp:inline>
        </w:drawing>
      </w:r>
    </w:p>
    <w:p>
      <w:pPr>
        <w:bidi w:val="1"/>
        <w:spacing w:before="40" w:after="40"/>
        <w:jc w:val="center"/>
        <w:widowControl w:val="1"/>
      </w:pPr>
      <w:r>
        <w:rPr>
          <w:rFonts w:ascii="Noto Naskh Arabic" w:hAnsi="Noto Naskh Arabic" w:cs="Noto Naskh Arabic" w:eastAsia="Noto Naskh Arabic"/>
          <w:b/>
          <w:sz w:val="21"/>
          <w:rtl w:val="1"/>
          <w:lang w:bidi="fa-IR"/>
        </w:rPr>
        <w:t>شکل ۱. مدل مفهومی موج دریا در تاریخ تمدن‌ها</w:t>
      </w:r>
    </w:p>
    <w:p>
      <w:pPr>
        <w:bidi w:val="1"/>
        <w:spacing w:after="160"/>
        <w:jc w:val="center"/>
        <w:widowControl w:val="1"/>
      </w:pPr>
      <w:r>
        <w:rPr>
          <w:rFonts w:ascii="Noto Naskh Arabic" w:hAnsi="Noto Naskh Arabic" w:cs="Noto Naskh Arabic" w:eastAsia="Noto Naskh Arabic"/>
          <w:i/>
          <w:color w:val="5A5A5A"/>
          <w:sz w:val="19"/>
          <w:rtl w:val="1"/>
          <w:lang w:bidi="fa-IR"/>
        </w:rPr>
        <w:t>یادداشت: این مدل ابزاری تفسیری است و نباید به‌عنوان قانون جبری یا پیش‌بینی قطعی تاریخ تلقی شود.</w:t>
      </w:r>
    </w:p>
    <w:tbl>
      <w:tblPr>
        <w:tblW w:type="auto" w:w="0"/>
        <w:jc w:val="center"/>
        <w:tblLayout w:type="fixed"/>
        <w:tblLook w:firstColumn="1" w:firstRow="1" w:lastColumn="0" w:lastRow="0" w:noHBand="0" w:noVBand="1" w:val="04A0"/>
      </w:tblPr>
      <w:tblGrid>
        <w:gridCol w:w="9412"/>
      </w:tblGrid>
      <w:tr>
        <w:tc>
          <w:tcPr>
            <w:tcW w:type="dxa" w:w="9184"/>
            <w:vAlign w:val="center"/>
            <w:shd w:fill="F2F2F2"/>
          </w:tcPr>
          <w:p>
            <w:pPr>
              <w:bidi w:val="1"/>
              <w:spacing w:before="100" w:after="100"/>
              <w:jc w:val="center"/>
            </w:pPr>
            <w:r>
              <w:rPr>
                <w:rFonts w:ascii="Noto Naskh Arabic" w:hAnsi="Noto Naskh Arabic" w:cs="Noto Naskh Arabic" w:eastAsia="Noto Naskh Arabic"/>
                <w:b/>
                <w:sz w:val="22"/>
                <w:rtl w:val="1"/>
                <w:lang w:bidi="fa-IR"/>
              </w:rPr>
              <w:t>برآمدن ← رشد و شکوفایی ← انباشت قدرت و ثروت ← کاهش پویایی تولید ← نابرابری و بیکاری ← بحران مشروعیت ← سرکوب و ایدئولوژی ← فرسایش اخلاق و اعتماد عمومی ← کف موج ← بازتعریف ارزش‌ها و نهادها ← خیزش دوباره</w:t>
            </w:r>
          </w:p>
        </w:tc>
      </w:tr>
    </w:tbl>
    <w:p>
      <w:pPr>
        <w:keepNext w:val="0"/>
        <w:bidi w:val="1"/>
        <w:spacing w:line="300" w:lineRule="auto" w:after="80"/>
        <w:ind w:firstLine="0"/>
        <w:jc w:val="both"/>
        <w:widowControl w:val="1"/>
      </w:pPr>
      <w:r>
        <w:rPr>
          <w:rFonts w:ascii="Noto Naskh Arabic" w:hAnsi="Noto Naskh Arabic" w:cs="Noto Naskh Arabic" w:eastAsia="Noto Naskh Arabic"/>
          <w:b w:val="0"/>
          <w:sz w:val="24"/>
          <w:rtl w:val="1"/>
          <w:lang w:bidi="fa-IR"/>
        </w:rPr>
        <w:t>این مدل از چند سنت نظری تغذیه می‌کند:</w:t>
      </w:r>
    </w:p>
    <w:p>
      <w:pPr>
        <w:bidi w:val="1"/>
        <w:spacing w:line="288" w:lineRule="auto" w:after="80"/>
        <w:ind w:right="198"/>
        <w:jc w:val="both"/>
        <w:widowControl w:val="1"/>
      </w:pPr>
      <w:r>
        <w:rPr>
          <w:rFonts w:ascii="Noto Naskh Arabic" w:hAnsi="Noto Naskh Arabic" w:cs="Noto Naskh Arabic" w:eastAsia="Noto Naskh Arabic"/>
          <w:b/>
          <w:sz w:val="24"/>
          <w:rtl w:val="1"/>
          <w:lang w:bidi="fa-IR"/>
        </w:rPr>
        <w:t xml:space="preserve">۱. </w:t>
      </w:r>
      <w:r>
        <w:rPr>
          <w:rFonts w:ascii="Noto Naskh Arabic" w:hAnsi="Noto Naskh Arabic" w:cs="Noto Naskh Arabic" w:eastAsia="Noto Naskh Arabic"/>
          <w:sz w:val="24"/>
          <w:rtl w:val="1"/>
          <w:lang w:bidi="fa-IR"/>
        </w:rPr>
        <w:t>ابن‌خلدون در مقدمه، شکل‌گیری و افول دولت‌ها را بر پایه انسجام اجتماعی، قدرت سیاسی و فرسودگی تدریجی عصبیت توضیح می‌دهد.</w:t>
      </w:r>
    </w:p>
    <w:p>
      <w:pPr>
        <w:bidi w:val="1"/>
        <w:spacing w:line="288" w:lineRule="auto" w:after="80"/>
        <w:ind w:right="198"/>
        <w:jc w:val="both"/>
        <w:widowControl w:val="1"/>
      </w:pPr>
      <w:r>
        <w:rPr>
          <w:rFonts w:ascii="Noto Naskh Arabic" w:hAnsi="Noto Naskh Arabic" w:cs="Noto Naskh Arabic" w:eastAsia="Noto Naskh Arabic"/>
          <w:b/>
          <w:sz w:val="24"/>
          <w:rtl w:val="1"/>
          <w:lang w:bidi="fa-IR"/>
        </w:rPr>
        <w:t xml:space="preserve">۲. </w:t>
      </w:r>
      <w:r>
        <w:rPr>
          <w:rFonts w:ascii="Noto Naskh Arabic" w:hAnsi="Noto Naskh Arabic" w:cs="Noto Naskh Arabic" w:eastAsia="Noto Naskh Arabic"/>
          <w:sz w:val="24"/>
          <w:rtl w:val="1"/>
          <w:lang w:bidi="fa-IR"/>
        </w:rPr>
        <w:t>جیامباتیستا ویکو تاریخ را در قالب دوره‌های تکرارشونده اقوام و ملت‌ها می‌فهمد.</w:t>
      </w:r>
    </w:p>
    <w:p>
      <w:pPr>
        <w:bidi w:val="1"/>
        <w:spacing w:line="288" w:lineRule="auto" w:after="80"/>
        <w:ind w:right="198"/>
        <w:jc w:val="both"/>
        <w:widowControl w:val="1"/>
      </w:pPr>
      <w:r>
        <w:rPr>
          <w:rFonts w:ascii="Noto Naskh Arabic" w:hAnsi="Noto Naskh Arabic" w:cs="Noto Naskh Arabic" w:eastAsia="Noto Naskh Arabic"/>
          <w:b/>
          <w:sz w:val="24"/>
          <w:rtl w:val="1"/>
          <w:lang w:bidi="fa-IR"/>
        </w:rPr>
        <w:t xml:space="preserve">۳. </w:t>
      </w:r>
      <w:r>
        <w:rPr>
          <w:rFonts w:ascii="Noto Naskh Arabic" w:hAnsi="Noto Naskh Arabic" w:cs="Noto Naskh Arabic" w:eastAsia="Noto Naskh Arabic"/>
          <w:sz w:val="24"/>
          <w:rtl w:val="1"/>
          <w:lang w:bidi="fa-IR"/>
        </w:rPr>
        <w:t>اشپنگلر و توین‌بی از تولد، رشد و زوال تمدن‌ها سخن می‌گویند.</w:t>
      </w:r>
    </w:p>
    <w:p>
      <w:pPr>
        <w:bidi w:val="1"/>
        <w:spacing w:line="288" w:lineRule="auto" w:after="80"/>
        <w:ind w:right="198"/>
        <w:jc w:val="both"/>
        <w:widowControl w:val="1"/>
      </w:pPr>
      <w:r>
        <w:rPr>
          <w:rFonts w:ascii="Noto Naskh Arabic" w:hAnsi="Noto Naskh Arabic" w:cs="Noto Naskh Arabic" w:eastAsia="Noto Naskh Arabic"/>
          <w:b/>
          <w:sz w:val="24"/>
          <w:rtl w:val="1"/>
          <w:lang w:bidi="fa-IR"/>
        </w:rPr>
        <w:t xml:space="preserve">۴. </w:t>
      </w:r>
      <w:r>
        <w:rPr>
          <w:rFonts w:ascii="Noto Naskh Arabic" w:hAnsi="Noto Naskh Arabic" w:cs="Noto Naskh Arabic" w:eastAsia="Noto Naskh Arabic"/>
          <w:sz w:val="24"/>
          <w:rtl w:val="1"/>
          <w:lang w:bidi="fa-IR"/>
        </w:rPr>
        <w:t>مارکس بر تناقض‌های درونی نظام‌های تولید، انباشت سرمایه و بحران‌های ساختاری تأکید می‌کند.</w:t>
      </w:r>
    </w:p>
    <w:p>
      <w:pPr>
        <w:bidi w:val="1"/>
        <w:spacing w:line="288" w:lineRule="auto" w:after="80"/>
        <w:ind w:right="198"/>
        <w:jc w:val="both"/>
        <w:widowControl w:val="1"/>
      </w:pPr>
      <w:r>
        <w:rPr>
          <w:rFonts w:ascii="Noto Naskh Arabic" w:hAnsi="Noto Naskh Arabic" w:cs="Noto Naskh Arabic" w:eastAsia="Noto Naskh Arabic"/>
          <w:b/>
          <w:sz w:val="24"/>
          <w:rtl w:val="1"/>
          <w:lang w:bidi="fa-IR"/>
        </w:rPr>
        <w:t xml:space="preserve">۵. </w:t>
      </w:r>
      <w:r>
        <w:rPr>
          <w:rFonts w:ascii="Noto Naskh Arabic" w:hAnsi="Noto Naskh Arabic" w:cs="Noto Naskh Arabic" w:eastAsia="Noto Naskh Arabic"/>
          <w:sz w:val="24"/>
          <w:rtl w:val="1"/>
          <w:lang w:bidi="fa-IR"/>
        </w:rPr>
        <w:t>شومپیتر با مفهوم تخریب خلاق نشان می‌دهد که گذار تاریخی گاه از دل فروپاشی نظم‌های کهنه و برآمدن نیروهای جدید رخ می‌دهد.</w:t>
      </w:r>
    </w:p>
    <w:p>
      <w:pPr>
        <w:bidi w:val="1"/>
        <w:spacing w:line="288" w:lineRule="auto" w:after="80"/>
        <w:ind w:right="198"/>
        <w:jc w:val="both"/>
        <w:widowControl w:val="1"/>
      </w:pPr>
      <w:r>
        <w:rPr>
          <w:rFonts w:ascii="Noto Naskh Arabic" w:hAnsi="Noto Naskh Arabic" w:cs="Noto Naskh Arabic" w:eastAsia="Noto Naskh Arabic"/>
          <w:b/>
          <w:sz w:val="24"/>
          <w:rtl w:val="1"/>
          <w:lang w:bidi="fa-IR"/>
        </w:rPr>
        <w:t xml:space="preserve">۶. </w:t>
      </w:r>
      <w:r>
        <w:rPr>
          <w:rFonts w:ascii="Noto Naskh Arabic" w:hAnsi="Noto Naskh Arabic" w:cs="Noto Naskh Arabic" w:eastAsia="Noto Naskh Arabic"/>
          <w:sz w:val="24"/>
          <w:rtl w:val="1"/>
          <w:lang w:bidi="fa-IR"/>
        </w:rPr>
        <w:t>گلدستون و تورچین در جامعه‌شناسی تاریخی و کلیودینامیک، بر نقش فشارهای جمعیتی، بحران نخبگان، رقابت بر سر منابع و بی‌ثباتی سیاسی در دوره‌های تحول بزرگ تأکید کرده‌اند.</w:t>
      </w:r>
    </w:p>
    <w:p>
      <w:pPr>
        <w:bidi w:val="1"/>
        <w:spacing w:line="288" w:lineRule="auto" w:after="80"/>
        <w:ind w:right="198"/>
        <w:jc w:val="both"/>
        <w:widowControl w:val="1"/>
      </w:pPr>
      <w:r>
        <w:rPr>
          <w:rFonts w:ascii="Noto Naskh Arabic" w:hAnsi="Noto Naskh Arabic" w:cs="Noto Naskh Arabic" w:eastAsia="Noto Naskh Arabic"/>
          <w:b/>
          <w:sz w:val="24"/>
          <w:rtl w:val="1"/>
          <w:lang w:bidi="fa-IR"/>
        </w:rPr>
        <w:t xml:space="preserve">۷. </w:t>
      </w:r>
      <w:r>
        <w:rPr>
          <w:rFonts w:ascii="Noto Naskh Arabic" w:hAnsi="Noto Naskh Arabic" w:cs="Noto Naskh Arabic" w:eastAsia="Noto Naskh Arabic"/>
          <w:sz w:val="24"/>
          <w:rtl w:val="1"/>
          <w:lang w:bidi="fa-IR"/>
        </w:rPr>
        <w:t>نورث، والیس و وینگاست نیز نشان می‌دهند که کیفیت نهادها و نحوه دسترسی به قدرت و فرصت، در پایداری یا فروپاشی نظم‌ها نقشی تعیین‌کننده دارد.</w:t>
      </w:r>
    </w:p>
    <w:p>
      <w:pPr>
        <w:keepNext w:val="0"/>
        <w:bidi w:val="1"/>
        <w:spacing w:line="300" w:lineRule="auto" w:after="110"/>
        <w:ind w:firstLine="0"/>
        <w:jc w:val="both"/>
        <w:widowControl w:val="1"/>
      </w:pPr>
      <w:r>
        <w:rPr>
          <w:rFonts w:ascii="Noto Naskh Arabic" w:hAnsi="Noto Naskh Arabic" w:cs="Noto Naskh Arabic" w:eastAsia="Noto Naskh Arabic"/>
          <w:b w:val="0"/>
          <w:sz w:val="24"/>
          <w:rtl w:val="1"/>
          <w:lang w:bidi="fa-IR"/>
        </w:rPr>
        <w:t>از این رو، مدل موج دریا ترکیبی است از اقتصاد سیاسی، جامعه‌شناسی تاریخی، نظریه مشروعیت و تحلیل تمدنی. این چارچوب با سنت‌های نظریِ چرخه‌ای و نهادی در آثار ابن‌خلدون، ویکو، اشپنگلر، توین‌بی، مارکس، شومپیتر، اولسون، نورث و تورچین هم‌پوشانی دارد.</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ایران در بستر تاریخی بلندمدت</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ایران یکی از کهن‌ترین فضاهای تمدنی جهان است و در تاریخ بلندمدت خود از دوره‌ها و نظام‌های ارزشی متعددی عبور کرده است. ایران پیشااسلامی، به‌ویژه در دوره هخامنشی، اشکانی و ساسانی، با اشکال گوناگونی از دولت، مذهب، حقوق و سازمان اجتماعی زیسته است. در همین بستر، آیین زرتشتی، مهرپرستی، مانویت، و بعدها اسلام، هر یک در زمانه‌ای نقش فرهنگی و تمدنی ایفا کرده‌اند. بنابراین، از منظر تاریخی، نه یک مذهب و نه یک نظم سیاسی، به‌طور ابدی نماینده تمام هویت ایران نبوده است.</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 xml:space="preserve">پژوهش‌های مربوط به تاریخ ایران مدرن نیز نشان می‌دهد که این سرزمین بارها وارد دوره‌های تمرکز قدرت، بحران، اصلاح، انقلاب و بازسازی شده است </w:t>
      </w:r>
      <w:r>
        <w:rPr>
          <w:rFonts w:ascii="Times New Roman" w:hAnsi="Times New Roman" w:cs="Times New Roman" w:eastAsia="Times New Roman"/>
          <w:sz w:val="22"/>
          <w:rtl w:val="0"/>
          <w:lang w:val="en-US"/>
        </w:rPr>
        <w:t>(Abrahamian, 2008; Amanat, 2017; Katouzian, 2009).</w:t>
      </w:r>
      <w:r>
        <w:rPr>
          <w:rFonts w:ascii="Noto Naskh Arabic" w:hAnsi="Noto Naskh Arabic" w:cs="Noto Naskh Arabic" w:eastAsia="Noto Naskh Arabic"/>
          <w:b w:val="0"/>
          <w:sz w:val="24"/>
          <w:rtl w:val="1"/>
          <w:lang w:bidi="fa-IR"/>
        </w:rPr>
        <w:t xml:space="preserve"> انقلاب مشروطه، ملی‌شدن نفت، انقلاب ۱۳۵۷ و جنبش‌های مدنیِ پس از آن، همگی بیانگر آن‌اند که جامعه ایران همواره در حال بازتعریف نسبت خود با دولت، قانون، عدالت، مذهب و جهان خارج بوده است.</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اخلاق، مذهب و مشروعیت</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 xml:space="preserve">یکی از مؤلفه‌های مهم در چرخه‌های تاریخی، اخلاق عمومی و سرمایه اجتماعی است. جامعه زمانی می‌تواند رشد پایدار داشته باشد که سطحی از اعتماد، همدلی، انصاف، همکاری و تعهد به منافع عمومی در آن وجود داشته باشد. این همان چیزی است که دورکیم آن را بنیان همبستگی اجتماعی می‌دانست و پاتنام، در زبان جدیدتر، از آن با عنوان سرمایه اجتماعی یاد می‌کند </w:t>
      </w:r>
      <w:r>
        <w:rPr>
          <w:rFonts w:ascii="Times New Roman" w:hAnsi="Times New Roman" w:cs="Times New Roman" w:eastAsia="Times New Roman"/>
          <w:sz w:val="22"/>
          <w:rtl w:val="0"/>
          <w:lang w:val="en-US"/>
        </w:rPr>
        <w:t>(Durkheim, 1984; Putnam, 1993).</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 xml:space="preserve">مذهب در تاریخ بشر گاه نقشی مثبت در ایجاد معنا، انسجام، آرامش روانی و نظم اخلاقی داشته است. اما در همان حال، وقتی مذهب به ابزار انحصاری کنترل سیاسی، تحمیل ایدئولوژیک و سرکوب اجتماعی تبدیل شود، نه‌تنها اخلاق عمومی را تقویت نمی‌کند، بلکه می‌تواند آن را فرسوده سازد. در این وضعیت، شکاف میان گفتار مقدس و کردار فاسدِ صاحبان قدرت، به بی‌اعتمادی، ریاکاری، انفعال اخلاقی و بحران مشروعیت منجر می‌شود. بررسی نسبت دین، اقتدار و سازمان اجتماعی در آثار وبر و گلنر نیز اهمیت این تمایز را نشان می‌دهد </w:t>
      </w:r>
      <w:r>
        <w:rPr>
          <w:rFonts w:ascii="Times New Roman" w:hAnsi="Times New Roman" w:cs="Times New Roman" w:eastAsia="Times New Roman"/>
          <w:sz w:val="22"/>
          <w:rtl w:val="0"/>
          <w:lang w:val="en-US"/>
        </w:rPr>
        <w:t>(Weber, 1978; Gellner, 1981).</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به بیان دیگر، دینِ شخصی می‌تواند محترم و معنادار باشد، اما دینِ دولتی و اجباری اغلب در معرض این خطر است که به ابزار سلطه تبدیل شود. در چنین وضعی، جامعه برای حفظ خود ناگزیر می‌شود اخلاقیات جدیدی تعریف کند که دیگر بر ترس و اجبار متکی نباشد، بلکه بر کرامت انسانی، آزادی وجدان و مسئولیت شهروندی بنا شود.</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ایران معاصر: نزدیک‌شدن به کف موج</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اگر مدل موجی را بر ایران معاصر منطبق کنیم، می‌توان استدلال کرد که جامعه ایران در دهه‌های اخیر با علائم متعددی از بحران ساختاری روبه‌رو بوده است: رکود تولیدی، اقتصاد رانتی، فساد نهادی، تحریم، مهاجرت نخبگان، تضعیف طبقه متوسط، کاهش اعتماد عمومی، گسترش ناامیدی و شکاف عمیق میان دولت و جامعه. در چنین شرایطی، حکومت‌هایی که از حل بحران‌های بنیادین ناتوان می‌شوند، معمولاً بیش از پیش به زور، کنترل ایدئولوژیک، امنیتی‌سازی و سرکوب متوسل می‌شوند.</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در ادبیات جامعه‌شناسی سیاسی، این مرحله را می‌توان وضعیتی از بحران مشروعیت دانست؛ وضعیتی که در آن مردم دیگر نه کارآمدی دولت را باور دارند و نه روایت رسمی آن از حقیقت و اخلاق را. از این منظر، گسترش آسیب‌های اجتماعی، فساد، بی‌اعتمادی و فرسایش همبستگی را باید نه صرفاً مسائل اخلاق فردی، بلکه نشانه‌های بحران نظم سیاسی و نهادی دانست.</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استعاره «کف موج» در این مقاله دقیقاً به همین وضعیت اشاره دارد: نقطه‌ای که در آن جامعه زیر فشارهای سیاسی، اقتصادی و اخلاقی به پایین‌ترین سطح انرژی تاریخی خود نزدیک می‌شود. اما این نقطه، در منطق موج، صرفاً پایان نیست؛ آغازِ امکانِ برگشت نیز هست.</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نوزایی: از بازتعریف اخلاق تا بازسازی نهادها</w:t>
      </w:r>
    </w:p>
    <w:p>
      <w:pPr>
        <w:keepNext w:val="0"/>
        <w:bidi w:val="1"/>
        <w:spacing w:line="300" w:lineRule="auto" w:after="110"/>
        <w:ind w:firstLine="0"/>
        <w:jc w:val="both"/>
        <w:widowControl w:val="1"/>
      </w:pPr>
      <w:r>
        <w:rPr>
          <w:rFonts w:ascii="Noto Naskh Arabic" w:hAnsi="Noto Naskh Arabic" w:cs="Noto Naskh Arabic" w:eastAsia="Noto Naskh Arabic"/>
          <w:b w:val="0"/>
          <w:sz w:val="24"/>
          <w:rtl w:val="1"/>
          <w:lang w:bidi="fa-IR"/>
        </w:rPr>
        <w:t>تاریخ نشان می‌دهد که جوامع پس از برخورد به کف موج، تنها زمانی می‌توانند دوباره اوج بگیرند که هم‌زمان سه بازسازی را پیش ببرند:</w:t>
      </w:r>
    </w:p>
    <w:p>
      <w:pPr>
        <w:pStyle w:val="Heading2"/>
        <w:keepNext/>
        <w:bidi w:val="1"/>
        <w:spacing w:before="180" w:after="100"/>
        <w:jc w:val="right"/>
        <w:widowControl w:val="1"/>
      </w:pPr>
      <w:r>
        <w:rPr>
          <w:rFonts w:ascii="Noto Sans Arabic" w:hAnsi="Noto Sans Arabic" w:cs="Noto Sans Arabic" w:eastAsia="Noto Sans Arabic"/>
          <w:b/>
          <w:color w:val="1C1C1C"/>
          <w:sz w:val="28"/>
          <w:rtl w:val="1"/>
          <w:lang w:bidi="fa-IR"/>
        </w:rPr>
        <w:t>۱. بازسازی اخلاقی</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ایران برای عبور از بحران کنونی نیازمند شکل‌گیری یک اخلاق عمومی نو است؛ اخلاقی مبتنی بر راستگویی، مسئولیت‌پذیری، مدارا، قانون‌پذیری، کرامت انسان، احترام به تفاوت‌ها و اولویت‌دادن به منافع عمومی بر وفاداری‌های فرقه‌ای و ایدئولوژیک. این اخلاق جدید باید بتواند هم دیندار و هم غیردیندار، هم چپ و هم راست، هم جمهوری‌خواه و هم پادشاهی‌خواه را درون یک افق ملی مشترک گرد آورد.</w:t>
      </w:r>
    </w:p>
    <w:p>
      <w:pPr>
        <w:pStyle w:val="Heading2"/>
        <w:keepNext/>
        <w:bidi w:val="1"/>
        <w:spacing w:before="180" w:after="100"/>
        <w:jc w:val="right"/>
        <w:widowControl w:val="1"/>
      </w:pPr>
      <w:r>
        <w:rPr>
          <w:rFonts w:ascii="Noto Sans Arabic" w:hAnsi="Noto Sans Arabic" w:cs="Noto Sans Arabic" w:eastAsia="Noto Sans Arabic"/>
          <w:b/>
          <w:color w:val="1C1C1C"/>
          <w:sz w:val="28"/>
          <w:rtl w:val="1"/>
          <w:lang w:bidi="fa-IR"/>
        </w:rPr>
        <w:t>۲. بازسازی سیاسی و نهادی</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 xml:space="preserve">توسعه پایدار بدون حاکمیت قانون، تفکیک نهاد دین از دولت، حقوق شهروندی برابر، پاسخ‌گویی حکومت و نهادهای باز ممکن نیست. تجربه تطبیقی نشان می‌دهد که جوامعی که امکان رقابت سیاسی، مالکیت امن، آزادی دانشگاه، گردش نخبگان و شفافیت نهادی را فراهم می‌کنند، ظرفیت بیشتری برای نوآوری و توسعه دارند </w:t>
      </w:r>
      <w:r>
        <w:rPr>
          <w:rFonts w:ascii="Times New Roman" w:hAnsi="Times New Roman" w:cs="Times New Roman" w:eastAsia="Times New Roman"/>
          <w:sz w:val="22"/>
          <w:rtl w:val="0"/>
          <w:lang w:val="en-US"/>
        </w:rPr>
        <w:t>(North et al., 2009; Acemoglu &amp; Robinson, 2012).</w:t>
      </w:r>
    </w:p>
    <w:p>
      <w:pPr>
        <w:pStyle w:val="Heading2"/>
        <w:keepNext/>
        <w:bidi w:val="1"/>
        <w:spacing w:before="180" w:after="100"/>
        <w:jc w:val="right"/>
        <w:widowControl w:val="1"/>
      </w:pPr>
      <w:r>
        <w:rPr>
          <w:rFonts w:ascii="Noto Sans Arabic" w:hAnsi="Noto Sans Arabic" w:cs="Noto Sans Arabic" w:eastAsia="Noto Sans Arabic"/>
          <w:b/>
          <w:color w:val="1C1C1C"/>
          <w:sz w:val="28"/>
          <w:rtl w:val="1"/>
          <w:lang w:bidi="fa-IR"/>
        </w:rPr>
        <w:t>۳. بازسازی اقتصادی و صنعتی</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 xml:space="preserve">آینده ایران نمی‌تواند بر رانت نفتی، انزوا، شبه‌دولتی‌گری و اقتصاد سیاسیِ امتیازبنیاد استوار بماند. ایران برای برخاستن دوباره باید به سمت صنعتی‌شدن نوین، اقتصاد دانش‌بنیان، تولید رقابت‌پذیر، پیوند دانشگاه و صنعت، مشارکت زنان، بازگشت نخبگان و ادغام در زنجیره‌های جهانی ارزش حرکت کند. پژوهش‌های تطبیقی درباره تجارت، نهادها و رشد نیز نشان می‌دهند که پیوند سازنده با اقتصاد جهانی، در کنار نهادهای پاسخ‌گو، می‌تواند ظرفیت توسعه را افزایش دهد </w:t>
      </w:r>
      <w:r>
        <w:rPr>
          <w:rFonts w:ascii="Times New Roman" w:hAnsi="Times New Roman" w:cs="Times New Roman" w:eastAsia="Times New Roman"/>
          <w:sz w:val="22"/>
          <w:rtl w:val="0"/>
          <w:lang w:val="en-US"/>
        </w:rPr>
        <w:t>(Frankel &amp; Romer, 1999; North et al., 2009).</w:t>
      </w:r>
      <w:r>
        <w:rPr>
          <w:rFonts w:ascii="Noto Naskh Arabic" w:hAnsi="Noto Naskh Arabic" w:cs="Noto Naskh Arabic" w:eastAsia="Noto Naskh Arabic"/>
          <w:b w:val="0"/>
          <w:sz w:val="24"/>
          <w:rtl w:val="1"/>
          <w:lang w:bidi="fa-IR"/>
        </w:rPr>
        <w:t xml:space="preserve"> در این چارچوب، تنش‌زدایی و روابط سازنده با آمریکا، اسرائیل، اروپا و کشورهای ثروتمند خلیج فارس را می‌توان نه از منظر ایدئولوژیک، بلکه از منظر توسعه، انتقال فناوری، سرمایه‌گذاری، تجارت و امنیت منطقه‌ای تحلیل کرد.</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موج جدید ایران: یک افق پیشنهادی</w:t>
      </w:r>
    </w:p>
    <w:p>
      <w:pPr>
        <w:keepNext w:val="0"/>
        <w:bidi w:val="1"/>
        <w:spacing w:line="300" w:lineRule="auto" w:after="110"/>
        <w:ind w:firstLine="0"/>
        <w:jc w:val="both"/>
        <w:widowControl w:val="1"/>
      </w:pPr>
      <w:r>
        <w:rPr>
          <w:rFonts w:ascii="Noto Naskh Arabic" w:hAnsi="Noto Naskh Arabic" w:cs="Noto Naskh Arabic" w:eastAsia="Noto Naskh Arabic"/>
          <w:b w:val="0"/>
          <w:sz w:val="24"/>
          <w:rtl w:val="1"/>
          <w:lang w:bidi="fa-IR"/>
        </w:rPr>
        <w:t>اگر ایران در مرحله برخورد با کف موج باشد، خیزش دوباره آن مستلزم نوعی مکتب فکری جدید است؛ مکتبی نه بر پایه نفرت، انحصار یا اسطوره‌سازی سیاسی، بلکه بر پایه:</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دوستی و صلح</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اخلاق و مسئولیت اجتماعی</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عشق به انسان و کرامت فرد</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علم، کار، تولید و نوآوری</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سکولاریسم سیاسی و آزادی وجدان</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برابری زنان و مردان</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قانون برای همه</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ملی‌گرایی مدنی و غیرطردکننده</w:t>
      </w:r>
    </w:p>
    <w:p>
      <w:pPr>
        <w:bidi w:val="1"/>
        <w:spacing w:line="276" w:lineRule="auto" w:after="50"/>
        <w:ind w:right="312" w:hanging="198"/>
        <w:jc w:val="right"/>
        <w:widowControl w:val="1"/>
      </w:pPr>
      <w:r>
        <w:rPr>
          <w:rFonts w:ascii="Noto Naskh Arabic" w:hAnsi="Noto Naskh Arabic" w:cs="Noto Naskh Arabic" w:eastAsia="Noto Naskh Arabic"/>
          <w:b/>
          <w:sz w:val="25"/>
          <w:rtl w:val="1"/>
          <w:lang w:bidi="fa-IR"/>
        </w:rPr>
        <w:t xml:space="preserve">• </w:t>
      </w:r>
      <w:r>
        <w:rPr>
          <w:rFonts w:ascii="Noto Naskh Arabic" w:hAnsi="Noto Naskh Arabic" w:cs="Noto Naskh Arabic" w:eastAsia="Noto Naskh Arabic"/>
          <w:sz w:val="24"/>
          <w:rtl w:val="1"/>
          <w:lang w:bidi="fa-IR"/>
        </w:rPr>
        <w:t>روابط متوازن و سازنده با جهان</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این پروژه، در زبان سیاسی، یک پروژه نوزایی ملی است: تلاشی برای آن‌که ایران نه به گذشته بازگردد و نه در بن‌بست حال منجمد بماند، بلکه در قالبی نو، صنعتی، آزاد، اخلاقی و انسانی بازآفرینی شود.</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بحث</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البته باید تأکید کرد که مدل موجیِ تاریخ، یک ابزار تبیینی و تفسیری است، نه قانونی قطعی و جبرباورانه. همه تمدن‌ها دقیقاً با یک الگو حرکت نمی‌کنند، و امکان مداخله آگاهانه انسانی، اصلاحات سیاسی، شوک‌های بین‌المللی و رهبری‌های متفاوت می‌تواند مسیرها را دگرگون سازد. افزون بر این، مفاهیمی مانند «افول اخلاقی» یا «کف موج» لزوماً سنجش‌پذیری آسان ندارند و به تفسیر نظری نیازمندند.</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 xml:space="preserve">با این حال، مزیت این مدل آن است که به ما اجازه می‌دهد اقتصاد، مشروعیت، فرهنگ، اخلاق و قدرت را در یک قاب واحد ببینیم. از این منظر، بحران ایران صرفاً یک بحران اقتصادی یا صرفاً یک بحران مذهبی نیست؛ بلکه بحرانی تمدنی ـ نهادی است که پاسخ آن نیز باید چندساحتی باشد. در این معنا، مدل موجی با نظریه‌های چرخه‌ای و ساختاری در آثار سورکین، اولسون و تورچین نیز گفت‌وگو می‌کند </w:t>
      </w:r>
      <w:r>
        <w:rPr>
          <w:rFonts w:ascii="Times New Roman" w:hAnsi="Times New Roman" w:cs="Times New Roman" w:eastAsia="Times New Roman"/>
          <w:sz w:val="22"/>
          <w:rtl w:val="0"/>
          <w:lang w:val="en-US"/>
        </w:rPr>
        <w:t>(Sorokin, 1937–1941; Olson, 1982; Turchin, 2003).</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نتیجه‌گیری</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تاریخ بشر را می‌توان، با احتیاط روش‌شناختی، همچون امواج دریا فهم کرد: برآمدن، اوج، شکست و بازگشت. ایران نیز در تاریخ بلند خود بارها چنین چرخه‌هایی را تجربه کرده است. اگر جامعه ایران امروز با بحران مشروعیت، فرسایش اخلاق عمومی، رکود نهادی و فقر افق آینده مواجه است، این امر را می‌توان نشانه نزدیک‌شدن به کف موج تاریخی دانست. اما در منطق تاریخ، کف موج پایان نیست؛ جایی است که انرژی نوزایی شکل می‌گیرد.</w:t>
      </w:r>
    </w:p>
    <w:p>
      <w:pPr>
        <w:keepNext w:val="0"/>
        <w:bidi w:val="1"/>
        <w:spacing w:line="300" w:lineRule="auto" w:after="110"/>
        <w:ind w:firstLine="369"/>
        <w:jc w:val="both"/>
        <w:widowControl w:val="1"/>
      </w:pPr>
      <w:r>
        <w:rPr>
          <w:rFonts w:ascii="Noto Naskh Arabic" w:hAnsi="Noto Naskh Arabic" w:cs="Noto Naskh Arabic" w:eastAsia="Noto Naskh Arabic"/>
          <w:b w:val="0"/>
          <w:sz w:val="24"/>
          <w:rtl w:val="1"/>
          <w:lang w:bidi="fa-IR"/>
        </w:rPr>
        <w:t>از این رو، خیزش دوباره ایران در گروی بازتعریف اخلاق عمومی، نوسازی نهادها، صنعتی‌شدن، حاکمیت قانون، آزادی و بازگشت به جهان به‌مثابه یک بازیگر مسئول و سازنده است. ایرانِ آینده، اگر بخواهد از این تاریکی عبور کند، باید به‌جای سیاست ترس و انزوا، بر دانش، عشق، انسانیت، قانون، توسعه و دوستی با جهان تکیه کند. در این صورت، موجی که به کف خورده است، می‌تواند بار دیگر با نیرویی تازه برخیزد.</w:t>
      </w:r>
    </w:p>
    <w:p>
      <w:pPr>
        <w:widowControl w:val="1"/>
      </w:pPr>
      <w:r>
        <w:br w:type="page"/>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منابع</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Abrahamian, E. (2008). A History of Modern Iran. Cambridge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Acemoglu, D., &amp; Robinson, J. A. (2012). Why Nations Fail: The Origins of Power, Prosperity, and Poverty. Crown.</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Amanat, A. (2017). Iran: A Modern History. Yale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Durkheim, E. (1984). The Division of Labor in Society (W. D. Halls, Trans.). Free Press. (Original work published 1893)</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Frankel, J. A., &amp; Romer, D. (1999). Does trade cause growth? American Economic Review, 89(3), 379–399.</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Gellner, E. (1981). Muslim Society. Cambridge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Goldstone, J. A. (1991). Revolution and Rebellion in the Early Modern World. University of California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Goldstone, J. A. (2014). Revolutions: A Very Short Introduction. Oxford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Ibn Khaldun. (1967). The Muqaddimah: An Introduction to History (F. Rosenthal, Trans.). Princeton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Katouzian, H. (2009). The Persians: Ancient, Mediaeval and Modern Iran. Yale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Marx, K. (1976). Capital: A Critique of Political Economy, Vol. I (B. Fowkes, Trans.). Penguin/New Left Review. (Original work published 1867)</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North, D. C., Wallis, J. J., &amp; Weingast, B. R. (2009). Violence and Social Orders: A Conceptual Framework for Interpreting Recorded Human History. Cambridge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Olson, M. (1982). The Rise and Decline of Nations. Yale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Putnam, R. D. (1993). Making Democracy Work: Civic Traditions in Modern Italy. Princeton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Schumpeter, J. A. (1942). Capitalism, Socialism and Democracy. Harper.</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Sorokin, P. A. (1937–1941). Social and Cultural Dynamics (Vols. 1–4). American Book Company.</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Spengler, O. (1926–1928). The Decline of the West (C. F. Atkinson, Trans.). Alfred A. Knopf.</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Toynbee, A. J. (1934–1961). A Study of History (Vols. 1–12). Oxford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Turchin, P. (2003). Historical Dynamics: Why States Rise and Fall. Princeton University Press.</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Turchin, P. (2009). A theory for formation of large empires. Journal of Global History, 4(2), 191–217.</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Vico, G. (1948). The New Science (T. G. Bergin &amp; M. H. Fisch, Trans.). Cornell University Press. (Original work published 1744)</w:t>
      </w:r>
    </w:p>
    <w:p>
      <w:pPr>
        <w:bidi w:val="0"/>
        <w:spacing w:line="264" w:lineRule="auto" w:after="70"/>
        <w:ind w:left="397" w:hanging="397"/>
        <w:jc w:val="left"/>
        <w:widowControl w:val="1"/>
      </w:pPr>
      <w:r>
        <w:rPr>
          <w:rFonts w:ascii="Times New Roman" w:hAnsi="Times New Roman" w:cs="Times New Roman" w:eastAsia="Times New Roman"/>
          <w:sz w:val="21"/>
          <w:rtl w:val="0"/>
          <w:lang w:val="en-US"/>
        </w:rPr>
        <w:t>Weber, M. (1978). Economy and Society (G. Roth &amp; C. Wittich, Eds.). University of California Press.</w:t>
      </w:r>
    </w:p>
    <w:p>
      <w:pPr>
        <w:pStyle w:val="Heading1"/>
        <w:keepNext/>
        <w:bidi w:val="1"/>
        <w:spacing w:before="260" w:after="100"/>
        <w:jc w:val="right"/>
        <w:pBdr>
          <w:bottom w:val="single" w:sz="8" w:space="4" w:color="A0A0A0"/>
        </w:pBdr>
        <w:widowControl w:val="1"/>
      </w:pPr>
      <w:r>
        <w:rPr>
          <w:rFonts w:ascii="Noto Sans Arabic" w:hAnsi="Noto Sans Arabic" w:cs="Noto Sans Arabic" w:eastAsia="Noto Sans Arabic"/>
          <w:b/>
          <w:color w:val="1C1C1C"/>
          <w:sz w:val="32"/>
          <w:rtl w:val="1"/>
          <w:lang w:bidi="fa-IR"/>
        </w:rPr>
        <w:t>یادداشت تصویر و صفحه‌آرایی</w:t>
      </w:r>
    </w:p>
    <w:p>
      <w:pPr>
        <w:keepNext w:val="0"/>
        <w:bidi w:val="1"/>
        <w:spacing w:line="300" w:lineRule="auto" w:after="110"/>
        <w:ind w:firstLine="0"/>
        <w:jc w:val="both"/>
        <w:widowControl w:val="1"/>
      </w:pPr>
      <w:r>
        <w:rPr>
          <w:rFonts w:ascii="Noto Naskh Arabic" w:hAnsi="Noto Naskh Arabic" w:cs="Noto Naskh Arabic" w:eastAsia="Noto Naskh Arabic"/>
          <w:b w:val="0"/>
          <w:sz w:val="24"/>
          <w:rtl w:val="1"/>
          <w:lang w:bidi="fa-IR"/>
        </w:rPr>
        <w:t>شکل ۱ برای این مقاله به‌صورت اختصاصی طراحی شده و نمایش مفهومیِ چرخه تاریخی را در قالب موج نشان می‌دهد. تصویر روی جلد نیز بازنمایی هنریِ مضمون مقاله است: از شکوفایی تمدنی و تمرکز قدرت تا بحران مشروعیت، کف موج، بازتعریف ارزش‌ها و نوزایی ملی.</w:t>
      </w:r>
    </w:p>
    <w:sectPr w:rsidR="00FC693F" w:rsidRPr="0006063C" w:rsidSect="00034616">
      <w:headerReference w:type="default" r:id="rId9"/>
      <w:footerReference w:type="default" r:id="rId10"/>
      <w:pgSz w:w="11906" w:h="16838"/>
      <w:pgMar w:top="1134" w:right="1247" w:bottom="1077" w:left="1247"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0"/>
    </w:pPr>
    <w:r>
      <w:rPr>
        <w:rFonts w:ascii="Noto Sans Arabic" w:hAnsi="Noto Sans Arabic" w:cs="Noto Sans Arabic" w:eastAsia="Noto Sans Arabic"/>
        <w:color w:val="5A5A5A"/>
        <w:sz w:val="18"/>
        <w:rtl w:val="0"/>
        <w:lang w:val="en-US"/>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center"/>
      <w:pBdr>
        <w:bottom w:val="single" w:sz="4" w:space="3" w:color="C9C9C9"/>
      </w:pBdr>
    </w:pPr>
    <w:r>
      <w:rPr>
        <w:rFonts w:ascii="Noto Sans Arabic" w:hAnsi="Noto Sans Arabic" w:cs="Noto Sans Arabic" w:eastAsia="Noto Sans Arabic"/>
        <w:color w:val="696969"/>
        <w:sz w:val="18"/>
        <w:rtl w:val="1"/>
        <w:lang w:bidi="fa-IR"/>
      </w:rPr>
      <w:t>از کف موج تا خیزش دوباره ایران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10"/>
    </w:pPr>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Arabic" w:hAnsi="Noto Sans Arabic" w:cs="Noto Sans Arabic"/>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Arabic" w:hAnsi="Noto Sans Arabic" w:cs="Noto Sans Arab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از کفِ موج تا خیزش دوباره ایران</dc:title>
  <dc:subject>مدلی موجی برای فهم چرخه‌های تاریخی تمدن، بحران مشروعیت، بازتعریف اخلاق و امکان نوزایی ملی</dc:subject>
  <dc:creator>پیمان بخشایش، MD, PhD, MBA</dc:creator>
  <cp:keywords>ایران، چرخه‌های تمدنی، موج دریا، مشروعیت، اخلاق عمومی، توسعه صنعتی، سرمایه اجتماعی</cp:keywords>
  <dc:description>نسخه فارسی صفحه‌آرایی‌شده با نمودار مفهومی و منابع علمی</dc:description>
  <cp:lastModifiedBy/>
  <cp:revision>1</cp:revision>
  <dcterms:created xsi:type="dcterms:W3CDTF">2013-12-23T23:15:00Z</dcterms:created>
  <dcterms:modified xsi:type="dcterms:W3CDTF">2013-12-23T23:15:00Z</dcterms:modified>
  <cp:category/>
</cp:coreProperties>
</file>