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48"/>
        </w:rPr>
        <w:t>The Centrist Transitional Mandate</w:t>
      </w:r>
    </w:p>
    <w:p>
      <w:pPr>
        <w:jc w:val="center"/>
      </w:pPr>
      <w:r>
        <w:rPr>
          <w:b/>
          <w:color w:val="444444"/>
          <w:sz w:val="28"/>
        </w:rPr>
        <w:t>Crown Prince Reza Pahlavi, Constitutional Monarchy, and the Architecture of National Reconciliation in Iran</w:t>
      </w:r>
    </w:p>
    <w:p/>
    <w:p>
      <w:pPr>
        <w:jc w:val="center"/>
      </w:pPr>
      <w:r>
        <w:rPr>
          <w:i/>
          <w:sz w:val="22"/>
        </w:rPr>
        <w:t>An evidence-based strategic essay examining the advantages, risks, and safeguards of a centrist transitional leadership model</w:t>
      </w:r>
    </w:p>
    <w:p/>
    <w:p>
      <w:pPr>
        <w:jc w:val="center"/>
      </w:pPr>
      <w:r>
        <w:rPr>
          <w:sz w:val="20"/>
        </w:rPr>
        <w:t>Prepared in English</w:t>
      </w:r>
    </w:p>
    <w:p>
      <w:r>
        <w:br w:type="page"/>
      </w:r>
    </w:p>
    <w:p>
      <w:pPr>
        <w:pStyle w:val="Heading1"/>
        <w:jc w:val="both"/>
      </w:pPr>
      <w:r>
        <w:t>Executive Summary</w:t>
      </w:r>
    </w:p>
    <w:p>
      <w:pPr>
        <w:jc w:val="both"/>
      </w:pPr>
      <w:r>
        <w:t>This essay evaluates the proposition that Crown Prince Reza Pahlavi could serve as an extra-factional transitional figure in a future Iranian democratic transition, while keeping the ultimate choice of Iran’s constitutional order in the hands of the Iranian people. The analysis does not treat constitutional monarchy as a pre-decided outcome; rather, it examines why a constitutional-monarchical horizon, combined with a referendum and constituent process, may be presented by its supporters as one available stabilising option among others.</w:t>
      </w:r>
    </w:p>
    <w:p>
      <w:pPr>
        <w:jc w:val="both"/>
      </w:pPr>
      <w:r>
        <w:t>The central thesis is that the strategic value of Crown Prince Reza Pahlavi lies less in partisan leadership and more in symbolic and institutional positioning: he can be framed as a national-recognition figure, an international interlocutor, and a temporary bridge toward popular sovereignty. That role becomes stronger when it is explicitly centrist, secular, democratic, inclusive of republicans and constitutional monarchists, and protected from far-right, sectarian, anti-Islamic, anti-left, or anti-minority appropriation.</w:t>
      </w:r>
    </w:p>
    <w:p>
      <w:pPr>
        <w:jc w:val="both"/>
      </w:pPr>
      <w:r>
        <w:t>The main risk is reputational and organisational drift. If the diaspora movement around him is perceived as a narrow ideological camp, a restorationist party, or a revenge coalition against leftists, Muslims, liberals, feminists, ethnic minorities, or republicans, the unifying value of his name is reduced. The essay therefore argues for a disciplined civic architecture: decentralised diaspora organisation, local councils of responsible figures, codes of conduct, evidence-based messaging, avoidance of maximalist slogans, and a clear distinction between temporary transitional leadership and the final constitutional choice.</w:t>
      </w:r>
    </w:p>
    <w:p>
      <w:pPr>
        <w:jc w:val="both"/>
      </w:pPr>
      <w:r>
        <w:t>A useful historical comparator is Spain after Franco. The Spanish case cannot be copied mechanically, but it shows how a monarchical figure can contribute to democratic transition when he functions as an arbiter, facilitates legal continuity and reform, opens space for parties across the ideological spectrum, and avoids becoming the property of one faction.</w:t>
      </w:r>
    </w:p>
    <w:p>
      <w:pPr>
        <w:pStyle w:val="Heading2"/>
        <w:jc w:val="both"/>
      </w:pPr>
      <w:r>
        <w:t>Core Argument in One Paragraph</w:t>
      </w:r>
    </w:p>
    <w:p>
      <w:pPr>
        <w:jc w:val="both"/>
      </w:pPr>
      <w:r>
        <w:t>For Crown Prince Reza Pahlavi’s transitional role to be politically viable, it must remain in the centre of the political arena. The centre does not mean ideological weakness. It means the disciplined ability to unite secular democrats, constitutional monarchists, republicans, liberals, social democrats, conservatives, ethnic and religious communities, women’s rights advocates, technocrats, workers, students, military defectors, and civil society around a minimum programme: territorial integrity, separation of religion and state, civil liberties, equality before law, transitional justice without revenge, regional peace, and a referendum-based constitutional settlement.</w:t>
      </w:r>
    </w:p>
    <w:p>
      <w:pPr>
        <w:pStyle w:val="Heading1"/>
        <w:jc w:val="both"/>
      </w:pPr>
      <w:r>
        <w:t>1. Methodological Note: What This Essay Assesses</w:t>
      </w:r>
    </w:p>
    <w:p>
      <w:pPr>
        <w:jc w:val="both"/>
      </w:pPr>
      <w:r>
        <w:t>The essay assesses a political strategy, not a personal endorsement. It examines publicly available statements, transition-planning materials, and comparative historical evidence. It also separates four questions that are often confused in diaspora debate:</w:t>
      </w:r>
    </w:p>
    <w:p>
      <w:pPr>
        <w:pStyle w:val="ListBullet"/>
        <w:spacing w:after="60"/>
        <w:jc w:val="both"/>
      </w:pPr>
      <w:r>
        <w:t>Who can serve as a temporary coordinating figure during a transition?</w:t>
      </w:r>
    </w:p>
    <w:p>
      <w:pPr>
        <w:pStyle w:val="ListBullet"/>
        <w:spacing w:after="60"/>
        <w:jc w:val="both"/>
      </w:pPr>
      <w:r>
        <w:t>What constitutional system should Iran finally adopt?</w:t>
      </w:r>
    </w:p>
    <w:p>
      <w:pPr>
        <w:pStyle w:val="ListBullet"/>
        <w:spacing w:after="60"/>
        <w:jc w:val="both"/>
      </w:pPr>
      <w:r>
        <w:t>How should diaspora organisations behave so that they do not damage the national cause?</w:t>
      </w:r>
    </w:p>
    <w:p>
      <w:pPr>
        <w:pStyle w:val="ListBullet"/>
        <w:spacing w:after="60"/>
        <w:jc w:val="both"/>
      </w:pPr>
      <w:r>
        <w:t>How can a movement convince international actors that post-Islamic-Republic Iran would be stable, secular, democratic, and peaceful?</w:t>
      </w:r>
    </w:p>
    <w:p>
      <w:pPr>
        <w:jc w:val="both"/>
      </w:pPr>
      <w:r>
        <w:t>The answer to the first question does not automatically decide the second. A transition led or symbolically coordinated by Reza Pahlavi would still require democratic legitimation through a referendum, constituent assembly, and elections. This distinction is essential because it prevents the movement from frightening republicans, liberals, social democrats, ethnic communities, and citizens who oppose the Islamic Republic but do not wish to return to monarchy by decree.</w:t>
      </w:r>
    </w:p>
    <w:p>
      <w:pPr>
        <w:pStyle w:val="Heading1"/>
        <w:jc w:val="both"/>
      </w:pPr>
      <w:r>
        <w:t>2. The Centrist Role: Leader of Transition, Not Owner of the Future State</w:t>
      </w:r>
    </w:p>
    <w:p>
      <w:pPr>
        <w:jc w:val="both"/>
      </w:pPr>
      <w:r>
        <w:t>Crown Prince Reza Pahlavi’s public positioning has repeatedly emphasised democratic government, secularism, and the right of Iranians to decide their political system. His official website describes the goal as transition from the Islamic Republic to a national, secular, and democratic government, and it lists “maximum organisation of Iranians” as one pillar of strategy. Reuters reported in June 2025 that when asked whether he wanted to lead a future transition or become a new Shah, he said he was not seeking political power and described the cornerstone of transition as territorial integrity, individual freedoms, equality of citizens, and separation of religion and state.</w:t>
      </w:r>
    </w:p>
    <w:p>
      <w:pPr>
        <w:jc w:val="both"/>
      </w:pPr>
      <w:r>
        <w:t>This creates a conceptual distinction between three possible roles:</w:t>
      </w:r>
    </w:p>
    <w:p>
      <w:pPr>
        <w:pStyle w:val="ListBullet"/>
        <w:spacing w:after="60"/>
        <w:jc w:val="both"/>
      </w:pPr>
      <w:r>
        <w:t>A symbolic-national role: giving the opposition a recognisable historical and international face.</w:t>
      </w:r>
    </w:p>
    <w:p>
      <w:pPr>
        <w:pStyle w:val="ListBullet"/>
        <w:spacing w:after="60"/>
        <w:jc w:val="both"/>
      </w:pPr>
      <w:r>
        <w:t>A transitional-coordinating role: helping to convene, legitimise, and protect a temporary transition mechanism.</w:t>
      </w:r>
    </w:p>
    <w:p>
      <w:pPr>
        <w:pStyle w:val="ListBullet"/>
        <w:spacing w:after="60"/>
        <w:jc w:val="both"/>
      </w:pPr>
      <w:r>
        <w:t>A partisan or dynastic-restoration role: seeking a pre-decided return of monarchy before a popular vote.</w:t>
      </w:r>
    </w:p>
    <w:p>
      <w:pPr>
        <w:jc w:val="both"/>
      </w:pPr>
      <w:r>
        <w:t>The first two roles can be compatible with democratic pluralism. The third role would be strategically dangerous because it would convert a potentially national figure into the leader of one ideological faction. The political strength of Reza Pahlavi therefore depends on disciplined distance from factional capture.</w:t>
      </w:r>
    </w:p>
    <w:p>
      <w:pPr>
        <w:pStyle w:val="Heading1"/>
        <w:jc w:val="both"/>
      </w:pPr>
      <w:r>
        <w:t>3. Why Constitutional Monarchy Is Seen by Supporters as a Pragmatic Option</w:t>
      </w:r>
    </w:p>
    <w:p>
      <w:pPr>
        <w:jc w:val="both"/>
      </w:pPr>
      <w:r>
        <w:t>The argument for constitutional monarchy in this context is not that monarchy is automatically superior to republicanism. The more defensible argument is institutional: constitutional monarchy may be viewed by its supporters as a mechanism for separating the symbolic head of state from day-to-day party government. In such a model, elected parties govern, the parliament legislates, courts remain independent, and the crown functions as a constitutional symbol of continuity, national identity, and non-partisan arbitration.</w:t>
      </w:r>
    </w:p>
    <w:p>
      <w:pPr>
        <w:jc w:val="both"/>
      </w:pPr>
      <w:r>
        <w:t>For Iran, supporters of this model usually emphasise five pragmatic claims:</w:t>
      </w:r>
    </w:p>
    <w:p>
      <w:pPr>
        <w:pStyle w:val="ListBullet"/>
        <w:spacing w:after="60"/>
        <w:jc w:val="both"/>
      </w:pPr>
      <w:r>
        <w:t>Historical recognisability: the Pahlavi name remains internationally known and domestically resonant among some anti-Islamic-Republic constituencies.</w:t>
      </w:r>
    </w:p>
    <w:p>
      <w:pPr>
        <w:pStyle w:val="ListBullet"/>
        <w:spacing w:after="60"/>
        <w:jc w:val="both"/>
      </w:pPr>
      <w:r>
        <w:t>Continuity without clerical rule: monarchy can be framed as a secular national symbol rather than a theocratic structure.</w:t>
      </w:r>
    </w:p>
    <w:p>
      <w:pPr>
        <w:pStyle w:val="ListBullet"/>
        <w:spacing w:after="60"/>
        <w:jc w:val="both"/>
      </w:pPr>
      <w:r>
        <w:t>International legibility: foreign governments understand constitutional monarchy as a familiar democratic model in countries such as the United Kingdom, Spain, Sweden, Norway, Denmark, the Netherlands, Belgium, Japan, and others.</w:t>
      </w:r>
    </w:p>
    <w:p>
      <w:pPr>
        <w:pStyle w:val="ListBullet"/>
        <w:spacing w:after="60"/>
        <w:jc w:val="both"/>
      </w:pPr>
      <w:r>
        <w:t>Potential mediation: a constitutional monarch can theoretically stand above party competition, while elected governments change through parliamentary procedures.</w:t>
      </w:r>
    </w:p>
    <w:p>
      <w:pPr>
        <w:pStyle w:val="ListBullet"/>
        <w:spacing w:after="60"/>
        <w:jc w:val="both"/>
      </w:pPr>
      <w:r>
        <w:t>Anti-chaos signalling: a transitional figure with historical continuity may reassure parts of the bureaucracy, armed forces, business community, and foreign partners that the fall of the Islamic Republic does not mean state collapse.</w:t>
      </w:r>
    </w:p>
    <w:p>
      <w:pPr>
        <w:jc w:val="both"/>
      </w:pPr>
      <w:r>
        <w:t>These claims become credible only if the movement repeatedly confirms that the final form of government must be decided by the Iranian people. The slogan should not be “the king has already been chosen”; it should be “the people must be allowed to choose freely”.</w:t>
      </w:r>
    </w:p>
    <w:p>
      <w:pPr>
        <w:pStyle w:val="Heading1"/>
        <w:jc w:val="both"/>
      </w:pPr>
      <w:r>
        <w:t>4. The Main Strategic Danger: Rightward Capture and Reputational Contamination</w:t>
      </w:r>
    </w:p>
    <w:p>
      <w:pPr>
        <w:jc w:val="both"/>
      </w:pPr>
      <w:r>
        <w:t>The most serious risk for a centrist Pahlavi strategy is ideological capture by the loudest and most polarising diaspora factions. The Islamic Republic was born from a complex revolutionary coalition that included Islamists, leftists, anti-monarchists, nationalists, and other forces. Because many Pahlavi supporters interpret 1979 as the result of betrayal by Islamists and leftists, they often transform historical grievance into present-day exclusion. This can produce a language of revenge rather than national reconciliation.</w:t>
      </w:r>
    </w:p>
    <w:p>
      <w:pPr>
        <w:jc w:val="both"/>
      </w:pPr>
      <w:r>
        <w:t>When pro-Pahlavi activism is framed as anti-Islam, anti-left, anti-socialist, anti-liberal, anti-feminist, anti-minority, or anti-republican, it damages the very strategic function that Reza Pahlavi claims to offer: unity beyond faction. It also hands his opponents an easy narrative: that a Pahlavi-led transition is not democratic pluralism but a right-wing restoration project.</w:t>
      </w:r>
    </w:p>
    <w:p>
      <w:pPr>
        <w:jc w:val="both"/>
      </w:pPr>
      <w:r>
        <w:t>The danger is not only moral; it is operational. A democratic transition requires defections from state institutions, cooperation among civil society networks, international recognition, and public confidence inside Iran. Each of these becomes harder when the movement appears vindictive, sectarian, or ideologically narrow.</w:t>
      </w:r>
    </w:p>
    <w:p>
      <w:pPr>
        <w:pStyle w:val="Heading1"/>
        <w:jc w:val="both"/>
      </w:pPr>
      <w:r>
        <w:t>5. Pros and Cons of a Pahlavi-Centred Transitional Strategy</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376"/>
            <w:vAlign w:val="center"/>
            <w:shd w:fill="1F4E79"/>
          </w:tcPr>
          <w:p>
            <w:pPr>
              <w:spacing w:after="0"/>
            </w:pPr>
            <w:r/>
            <w:r>
              <w:rPr>
                <w:rFonts w:ascii="Aptos" w:hAnsi="Aptos"/>
                <w:b/>
                <w:color w:val="FFFFFF"/>
                <w:sz w:val="17"/>
              </w:rPr>
              <w:t>Dimension</w:t>
            </w:r>
          </w:p>
        </w:tc>
        <w:tc>
          <w:tcPr>
            <w:tcW w:type="dxa" w:w="2376"/>
            <w:vAlign w:val="center"/>
            <w:shd w:fill="1F4E79"/>
          </w:tcPr>
          <w:p>
            <w:pPr>
              <w:spacing w:after="0"/>
            </w:pPr>
            <w:r/>
            <w:r>
              <w:rPr>
                <w:rFonts w:ascii="Aptos" w:hAnsi="Aptos"/>
                <w:b/>
                <w:color w:val="FFFFFF"/>
                <w:sz w:val="17"/>
              </w:rPr>
              <w:t>Potential Advantages</w:t>
            </w:r>
          </w:p>
        </w:tc>
        <w:tc>
          <w:tcPr>
            <w:tcW w:type="dxa" w:w="2376"/>
            <w:vAlign w:val="center"/>
            <w:shd w:fill="1F4E79"/>
          </w:tcPr>
          <w:p>
            <w:pPr>
              <w:spacing w:after="0"/>
            </w:pPr>
            <w:r/>
            <w:r>
              <w:rPr>
                <w:rFonts w:ascii="Aptos" w:hAnsi="Aptos"/>
                <w:b/>
                <w:color w:val="FFFFFF"/>
                <w:sz w:val="17"/>
              </w:rPr>
              <w:t>Potential Risks</w:t>
            </w:r>
          </w:p>
        </w:tc>
        <w:tc>
          <w:tcPr>
            <w:tcW w:type="dxa" w:w="2376"/>
            <w:vAlign w:val="center"/>
            <w:shd w:fill="1F4E79"/>
          </w:tcPr>
          <w:p>
            <w:pPr>
              <w:spacing w:after="0"/>
            </w:pPr>
            <w:r/>
            <w:r>
              <w:rPr>
                <w:rFonts w:ascii="Aptos" w:hAnsi="Aptos"/>
                <w:b/>
                <w:color w:val="FFFFFF"/>
                <w:sz w:val="17"/>
              </w:rPr>
              <w:t>Required Safeguard</w:t>
            </w:r>
          </w:p>
        </w:tc>
      </w:tr>
      <w:tr>
        <w:tc>
          <w:tcPr>
            <w:tcW w:type="dxa" w:w="2376"/>
            <w:vAlign w:val="center"/>
          </w:tcPr>
          <w:p>
            <w:pPr>
              <w:spacing w:after="0"/>
            </w:pPr>
            <w:r/>
            <w:r>
              <w:rPr>
                <w:rFonts w:ascii="Aptos" w:hAnsi="Aptos"/>
                <w:b w:val="0"/>
                <w:sz w:val="16"/>
              </w:rPr>
              <w:t>Legitimacy</w:t>
            </w:r>
          </w:p>
        </w:tc>
        <w:tc>
          <w:tcPr>
            <w:tcW w:type="dxa" w:w="2376"/>
            <w:vAlign w:val="center"/>
          </w:tcPr>
          <w:p>
            <w:pPr>
              <w:spacing w:after="0"/>
            </w:pPr>
            <w:r/>
            <w:r>
              <w:rPr>
                <w:rFonts w:ascii="Aptos" w:hAnsi="Aptos"/>
                <w:b w:val="0"/>
                <w:sz w:val="16"/>
              </w:rPr>
              <w:t>Recognisable figure; continuity with Iranian national history; ability to attract media and diplomatic attention.</w:t>
            </w:r>
          </w:p>
        </w:tc>
        <w:tc>
          <w:tcPr>
            <w:tcW w:type="dxa" w:w="2376"/>
            <w:vAlign w:val="center"/>
          </w:tcPr>
          <w:p>
            <w:pPr>
              <w:spacing w:after="0"/>
            </w:pPr>
            <w:r/>
            <w:r>
              <w:rPr>
                <w:rFonts w:ascii="Aptos" w:hAnsi="Aptos"/>
                <w:b w:val="0"/>
                <w:sz w:val="16"/>
              </w:rPr>
              <w:t>Support levels inside Iran are difficult to verify; opponents may associate the name with authoritarian memories of the pre-1979 state.</w:t>
            </w:r>
          </w:p>
        </w:tc>
        <w:tc>
          <w:tcPr>
            <w:tcW w:type="dxa" w:w="2376"/>
            <w:vAlign w:val="center"/>
          </w:tcPr>
          <w:p>
            <w:pPr>
              <w:spacing w:after="0"/>
            </w:pPr>
            <w:r/>
            <w:r>
              <w:rPr>
                <w:rFonts w:ascii="Aptos" w:hAnsi="Aptos"/>
                <w:b w:val="0"/>
                <w:sz w:val="16"/>
              </w:rPr>
              <w:t>Repeated commitment to referendum, free elections, civil liberties, and constituent assembly.</w:t>
            </w:r>
          </w:p>
        </w:tc>
      </w:tr>
      <w:tr>
        <w:tc>
          <w:tcPr>
            <w:tcW w:type="dxa" w:w="2376"/>
            <w:vAlign w:val="center"/>
          </w:tcPr>
          <w:p>
            <w:pPr>
              <w:spacing w:after="0"/>
            </w:pPr>
            <w:r/>
            <w:r>
              <w:rPr>
                <w:rFonts w:ascii="Aptos" w:hAnsi="Aptos"/>
                <w:b w:val="0"/>
                <w:sz w:val="16"/>
              </w:rPr>
              <w:t>Organisation</w:t>
            </w:r>
          </w:p>
        </w:tc>
        <w:tc>
          <w:tcPr>
            <w:tcW w:type="dxa" w:w="2376"/>
            <w:vAlign w:val="center"/>
          </w:tcPr>
          <w:p>
            <w:pPr>
              <w:spacing w:after="0"/>
            </w:pPr>
            <w:r/>
            <w:r>
              <w:rPr>
                <w:rFonts w:ascii="Aptos" w:hAnsi="Aptos"/>
                <w:b w:val="0"/>
                <w:sz w:val="16"/>
              </w:rPr>
              <w:t>Can give dispersed opposition networks a common focal point and encourage coordination.</w:t>
            </w:r>
          </w:p>
        </w:tc>
        <w:tc>
          <w:tcPr>
            <w:tcW w:type="dxa" w:w="2376"/>
            <w:vAlign w:val="center"/>
          </w:tcPr>
          <w:p>
            <w:pPr>
              <w:spacing w:after="0"/>
            </w:pPr>
            <w:r/>
            <w:r>
              <w:rPr>
                <w:rFonts w:ascii="Aptos" w:hAnsi="Aptos"/>
                <w:b w:val="0"/>
                <w:sz w:val="16"/>
              </w:rPr>
              <w:t>If organisation becomes personality-centred, it may discourage pluralism and produce dependency.</w:t>
            </w:r>
          </w:p>
        </w:tc>
        <w:tc>
          <w:tcPr>
            <w:tcW w:type="dxa" w:w="2376"/>
            <w:vAlign w:val="center"/>
          </w:tcPr>
          <w:p>
            <w:pPr>
              <w:spacing w:after="0"/>
            </w:pPr>
            <w:r/>
            <w:r>
              <w:rPr>
                <w:rFonts w:ascii="Aptos" w:hAnsi="Aptos"/>
                <w:b w:val="0"/>
                <w:sz w:val="16"/>
              </w:rPr>
              <w:t>Decentralised councils, transparent appointments, written mandates, time limits, and independent oversight.</w:t>
            </w:r>
          </w:p>
        </w:tc>
      </w:tr>
      <w:tr>
        <w:tc>
          <w:tcPr>
            <w:tcW w:type="dxa" w:w="2376"/>
            <w:vAlign w:val="center"/>
          </w:tcPr>
          <w:p>
            <w:pPr>
              <w:spacing w:after="0"/>
            </w:pPr>
            <w:r/>
            <w:r>
              <w:rPr>
                <w:rFonts w:ascii="Aptos" w:hAnsi="Aptos"/>
                <w:b w:val="0"/>
                <w:sz w:val="16"/>
              </w:rPr>
              <w:t>Ideological Positioning</w:t>
            </w:r>
          </w:p>
        </w:tc>
        <w:tc>
          <w:tcPr>
            <w:tcW w:type="dxa" w:w="2376"/>
            <w:vAlign w:val="center"/>
          </w:tcPr>
          <w:p>
            <w:pPr>
              <w:spacing w:after="0"/>
            </w:pPr>
            <w:r/>
            <w:r>
              <w:rPr>
                <w:rFonts w:ascii="Aptos" w:hAnsi="Aptos"/>
                <w:b w:val="0"/>
                <w:sz w:val="16"/>
              </w:rPr>
              <w:t>A centrist role can attract monarchists, republicans, liberals, social democrats, conservatives, minorities, and technocrats.</w:t>
            </w:r>
          </w:p>
        </w:tc>
        <w:tc>
          <w:tcPr>
            <w:tcW w:type="dxa" w:w="2376"/>
            <w:vAlign w:val="center"/>
          </w:tcPr>
          <w:p>
            <w:pPr>
              <w:spacing w:after="0"/>
            </w:pPr>
            <w:r/>
            <w:r>
              <w:rPr>
                <w:rFonts w:ascii="Aptos" w:hAnsi="Aptos"/>
                <w:b w:val="0"/>
                <w:sz w:val="16"/>
              </w:rPr>
              <w:t>Far-right or revenge-oriented activists may pull the brand toward factionalism.</w:t>
            </w:r>
          </w:p>
        </w:tc>
        <w:tc>
          <w:tcPr>
            <w:tcW w:type="dxa" w:w="2376"/>
            <w:vAlign w:val="center"/>
          </w:tcPr>
          <w:p>
            <w:pPr>
              <w:spacing w:after="0"/>
            </w:pPr>
            <w:r/>
            <w:r>
              <w:rPr>
                <w:rFonts w:ascii="Aptos" w:hAnsi="Aptos"/>
                <w:b w:val="0"/>
                <w:sz w:val="16"/>
              </w:rPr>
              <w:t>Codes of conduct, rejection of hate speech, inclusive language, and separation from extremist symbolism.</w:t>
            </w:r>
          </w:p>
        </w:tc>
      </w:tr>
      <w:tr>
        <w:tc>
          <w:tcPr>
            <w:tcW w:type="dxa" w:w="2376"/>
            <w:vAlign w:val="center"/>
          </w:tcPr>
          <w:p>
            <w:pPr>
              <w:spacing w:after="0"/>
            </w:pPr>
            <w:r/>
            <w:r>
              <w:rPr>
                <w:rFonts w:ascii="Aptos" w:hAnsi="Aptos"/>
                <w:b w:val="0"/>
                <w:sz w:val="16"/>
              </w:rPr>
              <w:t>International Relations</w:t>
            </w:r>
          </w:p>
        </w:tc>
        <w:tc>
          <w:tcPr>
            <w:tcW w:type="dxa" w:w="2376"/>
            <w:vAlign w:val="center"/>
          </w:tcPr>
          <w:p>
            <w:pPr>
              <w:spacing w:after="0"/>
            </w:pPr>
            <w:r/>
            <w:r>
              <w:rPr>
                <w:rFonts w:ascii="Aptos" w:hAnsi="Aptos"/>
                <w:b w:val="0"/>
                <w:sz w:val="16"/>
              </w:rPr>
              <w:t>Can reassure Western, Israeli, and Gulf partners that a future Iran seeks stability, non-aggression, and economic normalisation.</w:t>
            </w:r>
          </w:p>
        </w:tc>
        <w:tc>
          <w:tcPr>
            <w:tcW w:type="dxa" w:w="2376"/>
            <w:vAlign w:val="center"/>
          </w:tcPr>
          <w:p>
            <w:pPr>
              <w:spacing w:after="0"/>
            </w:pPr>
            <w:r/>
            <w:r>
              <w:rPr>
                <w:rFonts w:ascii="Aptos" w:hAnsi="Aptos"/>
                <w:b w:val="0"/>
                <w:sz w:val="16"/>
              </w:rPr>
              <w:t>Over-identification with any foreign power can allow opponents to describe the movement as externally imposed.</w:t>
            </w:r>
          </w:p>
        </w:tc>
        <w:tc>
          <w:tcPr>
            <w:tcW w:type="dxa" w:w="2376"/>
            <w:vAlign w:val="center"/>
          </w:tcPr>
          <w:p>
            <w:pPr>
              <w:spacing w:after="0"/>
            </w:pPr>
            <w:r/>
            <w:r>
              <w:rPr>
                <w:rFonts w:ascii="Aptos" w:hAnsi="Aptos"/>
                <w:b w:val="0"/>
                <w:sz w:val="16"/>
              </w:rPr>
              <w:t>National-interest language: friendship with neighbours and the West, but independence and sovereignty for Iran.</w:t>
            </w:r>
          </w:p>
        </w:tc>
      </w:tr>
      <w:tr>
        <w:tc>
          <w:tcPr>
            <w:tcW w:type="dxa" w:w="2376"/>
            <w:vAlign w:val="center"/>
          </w:tcPr>
          <w:p>
            <w:pPr>
              <w:spacing w:after="0"/>
            </w:pPr>
            <w:r/>
            <w:r>
              <w:rPr>
                <w:rFonts w:ascii="Aptos" w:hAnsi="Aptos"/>
                <w:b w:val="0"/>
                <w:sz w:val="16"/>
              </w:rPr>
              <w:t>Transitional Governance</w:t>
            </w:r>
          </w:p>
        </w:tc>
        <w:tc>
          <w:tcPr>
            <w:tcW w:type="dxa" w:w="2376"/>
            <w:vAlign w:val="center"/>
          </w:tcPr>
          <w:p>
            <w:pPr>
              <w:spacing w:after="0"/>
            </w:pPr>
            <w:r/>
            <w:r>
              <w:rPr>
                <w:rFonts w:ascii="Aptos" w:hAnsi="Aptos"/>
                <w:b w:val="0"/>
                <w:sz w:val="16"/>
              </w:rPr>
              <w:t>Emergency planning can prevent legal vacuum, institutional collapse, and disorder.</w:t>
            </w:r>
          </w:p>
        </w:tc>
        <w:tc>
          <w:tcPr>
            <w:tcW w:type="dxa" w:w="2376"/>
            <w:vAlign w:val="center"/>
          </w:tcPr>
          <w:p>
            <w:pPr>
              <w:spacing w:after="0"/>
            </w:pPr>
            <w:r/>
            <w:r>
              <w:rPr>
                <w:rFonts w:ascii="Aptos" w:hAnsi="Aptos"/>
                <w:b w:val="0"/>
                <w:sz w:val="16"/>
              </w:rPr>
              <w:t>Unelected transitional structures can be accused of concentrating power.</w:t>
            </w:r>
          </w:p>
        </w:tc>
        <w:tc>
          <w:tcPr>
            <w:tcW w:type="dxa" w:w="2376"/>
            <w:vAlign w:val="center"/>
          </w:tcPr>
          <w:p>
            <w:pPr>
              <w:spacing w:after="0"/>
            </w:pPr>
            <w:r/>
            <w:r>
              <w:rPr>
                <w:rFonts w:ascii="Aptos" w:hAnsi="Aptos"/>
                <w:b w:val="0"/>
                <w:sz w:val="16"/>
              </w:rPr>
              <w:t>Short emergency mandate, transparent criteria, parliamentary pathway, judicial independence, and scheduled elections.</w:t>
            </w:r>
          </w:p>
        </w:tc>
      </w:tr>
      <w:tr>
        <w:tc>
          <w:tcPr>
            <w:tcW w:type="dxa" w:w="2376"/>
            <w:vAlign w:val="center"/>
          </w:tcPr>
          <w:p>
            <w:pPr>
              <w:spacing w:after="0"/>
            </w:pPr>
            <w:r/>
            <w:r>
              <w:rPr>
                <w:rFonts w:ascii="Aptos" w:hAnsi="Aptos"/>
                <w:b w:val="0"/>
                <w:sz w:val="16"/>
              </w:rPr>
              <w:t>Social Reconciliation</w:t>
            </w:r>
          </w:p>
        </w:tc>
        <w:tc>
          <w:tcPr>
            <w:tcW w:type="dxa" w:w="2376"/>
            <w:vAlign w:val="center"/>
          </w:tcPr>
          <w:p>
            <w:pPr>
              <w:spacing w:after="0"/>
            </w:pPr>
            <w:r/>
            <w:r>
              <w:rPr>
                <w:rFonts w:ascii="Aptos" w:hAnsi="Aptos"/>
                <w:b w:val="0"/>
                <w:sz w:val="16"/>
              </w:rPr>
              <w:t>Can offer a supra-party identity around Iran rather than revenge against past opponents.</w:t>
            </w:r>
          </w:p>
        </w:tc>
        <w:tc>
          <w:tcPr>
            <w:tcW w:type="dxa" w:w="2376"/>
            <w:vAlign w:val="center"/>
          </w:tcPr>
          <w:p>
            <w:pPr>
              <w:spacing w:after="0"/>
            </w:pPr>
            <w:r/>
            <w:r>
              <w:rPr>
                <w:rFonts w:ascii="Aptos" w:hAnsi="Aptos"/>
                <w:b w:val="0"/>
                <w:sz w:val="16"/>
              </w:rPr>
              <w:t>Historical wounds among leftists, ethnic groups, Islamically observant citizens, and republicans may remain unresolved.</w:t>
            </w:r>
          </w:p>
        </w:tc>
        <w:tc>
          <w:tcPr>
            <w:tcW w:type="dxa" w:w="2376"/>
            <w:vAlign w:val="center"/>
          </w:tcPr>
          <w:p>
            <w:pPr>
              <w:spacing w:after="0"/>
            </w:pPr>
            <w:r/>
            <w:r>
              <w:rPr>
                <w:rFonts w:ascii="Aptos" w:hAnsi="Aptos"/>
                <w:b w:val="0"/>
                <w:sz w:val="16"/>
              </w:rPr>
              <w:t>Truth, reconciliation, equal citizenship, protection of faith communities, and non-discriminatory transitional justice.</w:t>
            </w:r>
          </w:p>
        </w:tc>
      </w:tr>
    </w:tbl>
    <w:p/>
    <w:p>
      <w:pPr>
        <w:jc w:val="both"/>
      </w:pPr>
      <w:r>
        <w:t>The table shows that the strategic case is conditional. The same figure can be a unifying bridge or a polarising symbol depending on organisational discipline, rhetoric, constitutional safeguards, and the ability to reassure non-monarchist Iranians.</w:t>
      </w:r>
    </w:p>
    <w:p>
      <w:pPr>
        <w:pStyle w:val="Heading1"/>
        <w:jc w:val="both"/>
      </w:pPr>
      <w:r>
        <w:t>6. The Spanish Comparator: Lessons from Juan Carlos I</w:t>
      </w:r>
    </w:p>
    <w:p>
      <w:pPr>
        <w:jc w:val="both"/>
      </w:pPr>
      <w:r>
        <w:t>Spain’s transition after Franco is often invoked because it combined monarchy, legal continuity, democratic opening, and national reconciliation. The Global Centre for Pluralism describes Spain’s post-Franco political dilemma as a choice between a break with the regime and negotiated reform; a few months after accession, King Juan Carlos I appointed Adolfo Suárez as head of government. The lesson is not that Iran should copy Spain. Iran has a different revolutionary history, geopolitical environment, religious structure, ethnic composition, and state-society relationship. The useful lesson is functional: a monarchical figure can assist democratisation only when he enables political pluralism rather than monopolising it.</w:t>
      </w:r>
    </w:p>
    <w:p>
      <w:pPr>
        <w:jc w:val="both"/>
      </w:pPr>
      <w:r>
        <w:t>Four lessons are relevant for Iran:</w:t>
      </w:r>
    </w:p>
    <w:p>
      <w:pPr>
        <w:pStyle w:val="ListBullet"/>
        <w:spacing w:after="60"/>
        <w:jc w:val="both"/>
      </w:pPr>
      <w:r>
        <w:t>The transitional figure must be above parties, not the leader of one faction.</w:t>
      </w:r>
    </w:p>
    <w:p>
      <w:pPr>
        <w:pStyle w:val="ListBullet"/>
        <w:spacing w:after="60"/>
        <w:jc w:val="both"/>
      </w:pPr>
      <w:r>
        <w:t>Legal continuity should be combined with selective repeal of abusive laws to prevent both chaos and continuity of oppression.</w:t>
      </w:r>
    </w:p>
    <w:p>
      <w:pPr>
        <w:pStyle w:val="ListBullet"/>
        <w:spacing w:after="60"/>
        <w:jc w:val="both"/>
      </w:pPr>
      <w:r>
        <w:t>The left, republicans, regional groups, and former opponents must be given a place in the constitutional future, provided they accept democracy and territorial integrity.</w:t>
      </w:r>
    </w:p>
    <w:p>
      <w:pPr>
        <w:pStyle w:val="ListBullet"/>
        <w:spacing w:after="60"/>
        <w:jc w:val="both"/>
      </w:pPr>
      <w:r>
        <w:t>The ultimate source of legitimacy must be the people through elections, parliament, referendum, and a constitution.</w:t>
      </w:r>
    </w:p>
    <w:p>
      <w:pPr>
        <w:pStyle w:val="Heading1"/>
        <w:jc w:val="both"/>
      </w:pPr>
      <w:r>
        <w:t>7. The Required Diaspora Architecture: Organisation Without Cultism</w:t>
      </w:r>
    </w:p>
    <w:p>
      <w:pPr>
        <w:jc w:val="both"/>
      </w:pPr>
      <w:r>
        <w:t>A major problem in Iranian opposition politics is that exile communities often substitute slogans for institutions. Emotional loyalty, performative radicalism, and social-media denunciation can create the appearance of strength while destroying strategic credibility. A serious transition movement requires organisation at the level of cities, professions, universities, civil society groups, and national diaspora communities.</w:t>
      </w:r>
    </w:p>
    <w:p>
      <w:pPr>
        <w:jc w:val="both"/>
      </w:pPr>
      <w:r>
        <w:t>A practical diaspora model should include:</w:t>
      </w:r>
    </w:p>
    <w:p>
      <w:pPr>
        <w:pStyle w:val="ListBullet"/>
        <w:spacing w:after="60"/>
        <w:jc w:val="both"/>
      </w:pPr>
      <w:r>
        <w:t>Country-level civic councils: inclusive bodies in the United Kingdom, United States, Germany, France, Canada, Sweden, Australia, and other diaspora centres, with written rules and rotating responsibilities.</w:t>
      </w:r>
    </w:p>
    <w:p>
      <w:pPr>
        <w:pStyle w:val="ListBullet"/>
        <w:spacing w:after="60"/>
        <w:jc w:val="both"/>
      </w:pPr>
      <w:r>
        <w:t>Professional advisory boards: doctors, engineers, lawyers, economists, military analysts, diplomats, educators, technologists, labour experts, and public administrators preparing evidence-based policy options.</w:t>
      </w:r>
    </w:p>
    <w:p>
      <w:pPr>
        <w:pStyle w:val="ListBullet"/>
        <w:spacing w:after="60"/>
        <w:jc w:val="both"/>
      </w:pPr>
      <w:r>
        <w:t>Local discipline mechanisms: respected community figures who can warn against extremist slogans, intimidation, online harassment, ethnic insults, anti-religious abuse, or threats against rival opposition groups.</w:t>
      </w:r>
    </w:p>
    <w:p>
      <w:pPr>
        <w:pStyle w:val="ListBullet"/>
        <w:spacing w:after="60"/>
        <w:jc w:val="both"/>
      </w:pPr>
      <w:r>
        <w:t>A public code of conduct: commitment to secular democracy, human rights, equality of citizens, territorial integrity, non-violence in diaspora politics, and rejection of racism, sectarianism, antisemitism, anti-Arab hatred, Islamophobia, and revenge politics.</w:t>
      </w:r>
    </w:p>
    <w:p>
      <w:pPr>
        <w:pStyle w:val="ListBullet"/>
        <w:spacing w:after="60"/>
        <w:jc w:val="both"/>
      </w:pPr>
      <w:r>
        <w:t>Messaging discipline: “free referendum”, “secular democracy”, “national reconciliation”, “regional peace”, and “Iran for all Iranians” should replace slogans that imply pre-decided kingship or exclusion of ideological opponents.</w:t>
      </w:r>
    </w:p>
    <w:p>
      <w:pPr>
        <w:jc w:val="both"/>
      </w:pPr>
      <w:r>
        <w:t>This model is compatible with Reza Pahlavi’s declared preference that Iranians organise themselves rather than wait for a command structure from above. The absence of a top-down party is not necessarily a weakness if it is replaced by disciplined civic self-organisation. It becomes a weakness only if decentralisation becomes chaos.</w:t>
      </w:r>
    </w:p>
    <w:p>
      <w:pPr>
        <w:pStyle w:val="Heading1"/>
        <w:jc w:val="both"/>
      </w:pPr>
      <w:r>
        <w:t>8. Relations with the World: Reassurance, Not Mischief</w:t>
      </w:r>
    </w:p>
    <w:p>
      <w:pPr>
        <w:jc w:val="both"/>
      </w:pPr>
      <w:r>
        <w:t>A future-oriented Iranian opposition must communicate clearly to the United States, Europe, Israel, and Persian Gulf neighbours that it seeks stability, not ideological export; peace, not revenge; reconstruction, not adventurism. The strategic message should be simple: a free Iran would be a normal state, a responsible neighbour, and a constructive member of the international system.</w:t>
      </w:r>
    </w:p>
    <w:p>
      <w:pPr>
        <w:jc w:val="both"/>
      </w:pPr>
      <w:r>
        <w:t>This requires careful language. Iranian nationalism should be presented as civic nationalism: love of Iran, territorial integrity, historical identity, Persianate civilisational confidence, and equal citizenship. It should not be presented as ethnic chauvinism, anti-Arab hostility, anti-Islamic revenge, or expansionist nostalgia. The Cyrus the Great reference is useful only if it symbolises tolerance, law, infrastructure, coexistence, administrative competence, and respect for diverse communities. It becomes dangerous if it is used as romantic imperial theatre.</w:t>
      </w:r>
    </w:p>
    <w:p>
      <w:pPr>
        <w:jc w:val="both"/>
      </w:pPr>
      <w:r>
        <w:t>The foreign-policy doctrine of a centrist transitional movement should include:</w:t>
      </w:r>
    </w:p>
    <w:p>
      <w:pPr>
        <w:pStyle w:val="ListBullet"/>
        <w:spacing w:after="60"/>
        <w:jc w:val="both"/>
      </w:pPr>
      <w:r>
        <w:t>Peace with Israel and Arab neighbours based on mutual recognition and non-aggression.</w:t>
      </w:r>
    </w:p>
    <w:p>
      <w:pPr>
        <w:pStyle w:val="ListBullet"/>
        <w:spacing w:after="60"/>
        <w:jc w:val="both"/>
      </w:pPr>
      <w:r>
        <w:t>Restoration of normal diplomatic and economic relations with Europe and North America.</w:t>
      </w:r>
    </w:p>
    <w:p>
      <w:pPr>
        <w:pStyle w:val="ListBullet"/>
        <w:spacing w:after="60"/>
        <w:jc w:val="both"/>
      </w:pPr>
      <w:r>
        <w:t>Respect for Persian Gulf security and the sovereignty of Kuwait, Saudi Arabia, Bahrain, Qatar, the United Arab Emirates, and Oman.</w:t>
      </w:r>
    </w:p>
    <w:p>
      <w:pPr>
        <w:pStyle w:val="ListBullet"/>
        <w:spacing w:after="60"/>
        <w:jc w:val="both"/>
      </w:pPr>
      <w:r>
        <w:t>No export of revolution, no support for militias, and no hostage diplomacy.</w:t>
      </w:r>
    </w:p>
    <w:p>
      <w:pPr>
        <w:pStyle w:val="ListBullet"/>
        <w:spacing w:after="60"/>
        <w:jc w:val="both"/>
      </w:pPr>
      <w:r>
        <w:t>A technocratic economic recovery plan based on transparency, private enterprise, anti-corruption mechanisms, energy reform, and integration into global markets.</w:t>
      </w:r>
    </w:p>
    <w:p>
      <w:pPr>
        <w:pStyle w:val="Heading1"/>
        <w:jc w:val="both"/>
      </w:pPr>
      <w:r>
        <w:t>9. Transition Planning: The Need for Evidence, Councils, and Legal Continuity</w:t>
      </w:r>
    </w:p>
    <w:p>
      <w:pPr>
        <w:jc w:val="both"/>
      </w:pPr>
      <w:r>
        <w:t>The Iran Prosperity Project’s Emergency Phase booklet proposes a transitional system consisting of a Transitional Mehestan, Transitional Government, and Transitional Divan. It identifies priorities such as securing borders, maintaining essential public services, stabilising the economy, transparent budgeting, market-based reforms, and reorientation of foreign policy. It also discusses a hybrid legal approach: retaining existing laws by default during the transition while repealing laws and institutions clearly inconsistent with national identity, the Universal Declaration of Human Rights, or the progress of the transitional system.</w:t>
      </w:r>
    </w:p>
    <w:p>
      <w:pPr>
        <w:jc w:val="both"/>
      </w:pPr>
      <w:r>
        <w:t>Whether one agrees with every institutional detail or not, the underlying principle is important: revolution without administrative planning can become state collapse. A serious opposition must therefore prepare before the fall of the regime, not after it. Preparation should include electricity, water, hospitals, food supply, ports, airports, banking, police, courts, prisons, borders, cyber infrastructure, oil and gas facilities, and local government continuity.</w:t>
      </w:r>
    </w:p>
    <w:p>
      <w:pPr>
        <w:jc w:val="both"/>
      </w:pPr>
      <w:r>
        <w:t>The same logic applies to political transition. A democratic revolution cannot survive by slogans alone. It needs a timetable: emergency administration, security stabilisation, release of political prisoners, temporary legal continuity, repeal of abusive laws, constituent assembly election, constitutional drafting, referendum, parliamentary election, and transfer of authority to elected institutions.</w:t>
      </w:r>
    </w:p>
    <w:p>
      <w:pPr>
        <w:pStyle w:val="Heading1"/>
        <w:jc w:val="both"/>
      </w:pPr>
      <w:r>
        <w:t>10. Recommended Political Language for a Centrist Pahlavi Strategy</w:t>
      </w:r>
    </w:p>
    <w:p>
      <w:pPr>
        <w:jc w:val="both"/>
      </w:pPr>
      <w:r>
        <w:t>The language of the movement should distinguish between admiration, constitutional procedure, and final sovereignty. The following formulations are strategically safer than maximalist slogans:</w:t>
      </w:r>
    </w:p>
    <w:p>
      <w:pPr>
        <w:pStyle w:val="ListBullet"/>
        <w:spacing w:after="60"/>
        <w:jc w:val="both"/>
      </w:pPr>
      <w:r>
        <w:t>“Crown Prince Reza Pahlavi can serve as a transitional national figure; the Iranian people must decide the future constitution.”</w:t>
      </w:r>
    </w:p>
    <w:p>
      <w:pPr>
        <w:pStyle w:val="ListBullet"/>
        <w:spacing w:after="60"/>
        <w:jc w:val="both"/>
      </w:pPr>
      <w:r>
        <w:t>“We support secular democracy, territorial integrity, equal citizenship, and national reconciliation.”</w:t>
      </w:r>
    </w:p>
    <w:p>
      <w:pPr>
        <w:pStyle w:val="ListBullet"/>
        <w:spacing w:after="60"/>
        <w:jc w:val="both"/>
      </w:pPr>
      <w:r>
        <w:t>“Republicans, constitutional monarchists, liberals, social democrats, conservatives, ethnic communities, religious citizens, and non-believers all have a place in the future Iran.”</w:t>
      </w:r>
    </w:p>
    <w:p>
      <w:pPr>
        <w:pStyle w:val="ListBullet"/>
        <w:spacing w:after="60"/>
        <w:jc w:val="both"/>
      </w:pPr>
      <w:r>
        <w:t>“The future Iran will not be anti-Arab, anti-Islam, anti-left, or anti-Western; it will be pro-Iran, pro-citizen, and pro-democracy.”</w:t>
      </w:r>
    </w:p>
    <w:p>
      <w:pPr>
        <w:pStyle w:val="ListBullet"/>
        <w:spacing w:after="60"/>
        <w:jc w:val="both"/>
      </w:pPr>
      <w:r>
        <w:t>“No revenge politics: justice must be legal, transparent, and evidence-based.”</w:t>
      </w:r>
    </w:p>
    <w:p>
      <w:pPr>
        <w:jc w:val="both"/>
      </w:pPr>
      <w:r>
        <w:t>By contrast, slogans implying that monarchy is already decided, that leftists and republicans are enemies of the nation, or that Islam and Arabs are civilisational enemies should be actively discouraged. Such slogans may create emotional satisfaction among a narrow audience but impose strategic costs on the broader national movement.</w:t>
      </w:r>
    </w:p>
    <w:p>
      <w:pPr>
        <w:pStyle w:val="Heading1"/>
        <w:jc w:val="both"/>
      </w:pPr>
      <w:r>
        <w:t>11. Conclusion: The Centre as Strategy</w:t>
      </w:r>
    </w:p>
    <w:p>
      <w:pPr>
        <w:jc w:val="both"/>
      </w:pPr>
      <w:r>
        <w:t>The strongest case for Crown Prince Reza Pahlavi is not a case for factional victory. It is a case for transitional centrality. If he is positioned as the leader of one camp, he becomes smaller. If he is positioned as a temporary national bridge, he becomes larger. If his supporters define him as king before the people vote, they frighten potential allies. If they define him as a guarantor of the people’s right to choose, they widen the coalition.</w:t>
      </w:r>
    </w:p>
    <w:p>
      <w:pPr>
        <w:jc w:val="both"/>
      </w:pPr>
      <w:r>
        <w:t>The future of Iran requires more than anger against the Islamic Republic. It requires rational statecraft, constitutional humility, civic nationalism, technocratic preparation, and emotional discipline. A Pahlavi-centred transition can be viable only if it is visibly secular, democratic, inclusive, internationally reassuring, and institutionally time-limited. The goal should be not the triumph of one nostalgia over another, but the creation of a modern Iranian state in which the people, not any party, cleric, monarchist faction, foreign actor, or revolutionary vanguard, are the final source of sovereignty.</w:t>
      </w:r>
    </w:p>
    <w:p>
      <w:pPr>
        <w:jc w:val="both"/>
      </w:pPr>
      <w:r>
        <w:t>In that framework, constitutional monarchy may be offered as one coherent option for post-transition Iran. But the method must be democratic, the language must be centrist, the organisation must be pluralist, and the transition must belong to the Iranian people.</w:t>
      </w:r>
    </w:p>
    <w:p>
      <w:pPr>
        <w:pStyle w:val="Heading1"/>
        <w:jc w:val="both"/>
      </w:pPr>
      <w:r>
        <w:t>Selected Sources and Evidence Base</w:t>
      </w:r>
    </w:p>
    <w:p>
      <w:pPr>
        <w:pStyle w:val="ListNumber"/>
        <w:spacing w:after="60"/>
      </w:pPr>
      <w:r>
        <w:t>Reza Pahlavi official website, homepage: statements on a national, secular, democratic government and the Five Pillars of transition.</w:t>
      </w:r>
    </w:p>
    <w:p>
      <w:pPr>
        <w:pStyle w:val="ListNumber"/>
        <w:spacing w:after="60"/>
      </w:pPr>
      <w:r>
        <w:t>Reza Pahlavi official website, biography: statements that he acts as a link between freedom-seeking Iranians and does not fight to reclaim a throne but to create space for Iranians to choose their political system.</w:t>
      </w:r>
    </w:p>
    <w:p>
      <w:pPr>
        <w:pStyle w:val="ListNumber"/>
        <w:spacing w:after="60"/>
      </w:pPr>
      <w:r>
        <w:t>Reuters, “Regime change is only solution in Iran, Shah’s son says,” 23 June 2025: reporting on Pahlavi’s statements on democratic transition, territorial integrity, individual freedoms, equality, separation of religion and state, and not seeking political power.</w:t>
      </w:r>
    </w:p>
    <w:p>
      <w:pPr>
        <w:pStyle w:val="ListNumber"/>
        <w:spacing w:after="60"/>
      </w:pPr>
      <w:r>
        <w:t>Iran Prosperity Project, Emergency Phase booklet: proposed transitional system, legal continuity, hybrid repeal model, and transition institutions.</w:t>
      </w:r>
    </w:p>
    <w:p>
      <w:pPr>
        <w:pStyle w:val="ListNumber"/>
        <w:spacing w:after="60"/>
      </w:pPr>
      <w:r>
        <w:t>Global Centre for Pluralism, “The Spanish Transition Forty Years Later”: comparative analysis of Spain’s democratic transition and the role of negotiated reform after Franco.</w:t>
      </w:r>
    </w:p>
    <w:p>
      <w:pPr>
        <w:pStyle w:val="ListNumber"/>
        <w:spacing w:after="60"/>
      </w:pPr>
      <w:r>
        <w:t>Clingendael Institute, “Opposition politics of the Iranian diaspora: Out of many, one – but not just yet”: analysis of fragmentation and organisational problems in Iranian diaspora opposition politics.</w:t>
      </w:r>
    </w:p>
    <w:p>
      <w:pPr>
        <w:pStyle w:val="Heading2"/>
        <w:jc w:val="both"/>
      </w:pPr>
      <w:r>
        <w:t>Evidence Notes</w:t>
      </w:r>
    </w:p>
    <w:p>
      <w:pPr>
        <w:pStyle w:val="ListNumber"/>
        <w:spacing w:after="60"/>
      </w:pPr>
      <w:r>
        <w:t>Official website: Reza Pahlavi is presented as advocating a transition to a national, secular, democratic government and as promoting “maximum organisation of Iranians”.</w:t>
      </w:r>
    </w:p>
    <w:p>
      <w:pPr>
        <w:pStyle w:val="ListNumber"/>
        <w:spacing w:after="60"/>
      </w:pPr>
      <w:r>
        <w:t>Official biography: the site states that his effort is focused on creating space for Iranians to choose their desired political system based on democratic principles.</w:t>
      </w:r>
    </w:p>
    <w:p>
      <w:pPr>
        <w:pStyle w:val="ListNumber"/>
        <w:spacing w:after="60"/>
      </w:pPr>
      <w:r>
        <w:t>Reuters: Pahlavi was reported as saying he was not seeking political power and identifying territorial integrity, individual freedoms, equality of citizens, and separation of religion and state as cornerstones of transition.</w:t>
      </w:r>
    </w:p>
    <w:p>
      <w:pPr>
        <w:pStyle w:val="ListNumber"/>
        <w:spacing w:after="60"/>
      </w:pPr>
      <w:r>
        <w:t>Iran Prosperity Project: the Emergency Phase document proposes Transitional Mehestan, Transitional Government, and Transitional Divan, with legal continuity and selective repeal of abusive laws.</w:t>
      </w:r>
    </w:p>
    <w:p>
      <w:pPr>
        <w:pStyle w:val="ListNumber"/>
        <w:spacing w:after="60"/>
      </w:pPr>
      <w:r>
        <w:t>Spanish transition comparator: the Global Centre for Pluralism notes the post-Franco dilemma between rupture and negotiated reform, and the appointment of Adolfo Suarez by Juan Carlos I.</w:t>
      </w:r>
    </w:p>
    <w:sectPr w:rsidR="00FC693F" w:rsidRPr="0006063C" w:rsidSect="00034616">
      <w:footerReference w:type="default" r:id="rId9"/>
      <w:pgSz w:w="12240" w:h="15840"/>
      <w:pgMar w:top="936" w:right="1080" w:bottom="936"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2F549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4444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Centrist Transitional Mandate</dc:title>
  <dc:subject>Crown Prince Reza Pahlavi, constitutional monarchy, and transitional governance in Iran</dc:subject>
  <dc:creator>OpenAI</dc:creator>
  <cp:keywords>Iran, Reza Pahlavi, constitutional monarchy, transition, national reconciliation, diaspora organisation</cp:keywords>
  <dc:description>generated by python-docx</dc:description>
  <cp:lastModifiedBy/>
  <cp:revision>1</cp:revision>
  <dcterms:created xsi:type="dcterms:W3CDTF">2013-12-23T23:15:00Z</dcterms:created>
  <dcterms:modified xsi:type="dcterms:W3CDTF">2013-12-23T23:15:00Z</dcterms:modified>
  <cp:category/>
</cp:coreProperties>
</file>