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ind w:firstLine="0"/>
        <w:jc w:val="start"/>
      </w:pPr>
      <w:r>
        <w:rPr>
          <w:rFonts w:ascii="Noto Kufi Arabic" w:hAnsi="Noto Kufi Arabic" w:eastAsia="Noto Kufi Arabic" w:cs="Noto Kufi Arabic"/>
          <w:b/>
          <w:color w:val="000000"/>
          <w:sz w:val="48"/>
          <w:i w:val="0"/>
          <w:iCs w:val="0"/>
          <w:szCs w:val="48"/>
          <w:lang w:val="fa-IR" w:bidi="fa-IR"/>
          <w:rtl w:val="1"/>
          <w:b w:val="1"/>
          <w:bCs w:val="1"/>
        </w:rPr>
        <w:t>تمدن‌سازان ایران نوین</w:t>
      </w:r>
    </w:p>
    <w:p>
      <w:pPr>
        <w:pStyle w:val="Subtitle"/>
        <w:bidi w:val="1"/>
        <w:ind w:firstLine="0"/>
        <w:jc w:val="start"/>
      </w:pPr>
      <w:r>
        <w:rPr>
          <w:rFonts w:ascii="Noto Naskh Arabic" w:hAnsi="Noto Naskh Arabic" w:eastAsia="Noto Naskh Arabic" w:cs="Noto Naskh Arabic"/>
          <w:b w:val="0"/>
          <w:color w:val="000000"/>
          <w:sz w:val="30"/>
          <w:i w:val="0"/>
          <w:iCs w:val="0"/>
          <w:szCs w:val="30"/>
          <w:lang w:val="fa-IR" w:bidi="fa-IR"/>
          <w:rtl w:val="1"/>
        </w:rPr>
        <w:t>پیمان ملی و مسئولیت شهروندی در ساختن ایران آینده</w:t>
      </w:r>
    </w:p>
    <w:p>
      <w:pPr>
        <w:bidi w:val="1"/>
        <w:ind w:firstLine="0"/>
        <w:jc w:val="start"/>
      </w:pPr>
      <w:r>
        <w:rPr>
          <w:rFonts w:ascii="Noto Naskh Arabic" w:hAnsi="Noto Naskh Arabic" w:eastAsia="Noto Naskh Arabic" w:cs="Noto Naskh Arabic"/>
          <w:b w:val="0"/>
          <w:color w:val="000000"/>
          <w:sz w:val="26"/>
          <w:i w:val="0"/>
          <w:iCs w:val="0"/>
          <w:szCs w:val="26"/>
          <w:lang w:val="fa-IR" w:bidi="fa-IR"/>
          <w:rtl w:val="1"/>
        </w:rPr>
        <w:t>دکتر پیمان بخشایش، جراح تروما</w:t>
      </w:r>
    </w:p>
    <w:p>
      <w:pPr>
        <w:bidi w:val="1"/>
        <w:ind w:firstLine="0"/>
        <w:jc w:val="start"/>
      </w:pPr>
      <w:r>
        <w:rPr>
          <w:rFonts w:ascii="Liberation Serif" w:hAnsi="Liberation Serif" w:eastAsia="Liberation Serif" w:cs="Liberation Serif"/>
          <w:b w:val="0"/>
          <w:color w:val="000000"/>
          <w:sz w:val="24"/>
          <w:i w:val="0"/>
          <w:iCs w:val="0"/>
          <w:szCs w:val="24"/>
          <w:lang w:val="en-GB" w:bidi="fa-IR"/>
          <w:rtl w:val="0"/>
        </w:rPr>
        <w:t>MD, PhD, MBA</w:t>
      </w:r>
    </w:p>
    <w:p>
      <w:pPr>
        <w:bidi w:val="1"/>
        <w:ind w:firstLine="0"/>
        <w:jc w:val="start"/>
      </w:pPr>
      <w:r>
        <w:rPr>
          <w:rFonts w:ascii="Noto Naskh Arabic" w:hAnsi="Noto Naskh Arabic" w:eastAsia="Noto Naskh Arabic" w:cs="Noto Naskh Arabic"/>
          <w:b w:val="0"/>
          <w:color w:val="000000"/>
          <w:sz w:val="23"/>
          <w:i w:val="0"/>
          <w:iCs w:val="0"/>
          <w:szCs w:val="23"/>
          <w:lang w:val="fa-IR" w:bidi="fa-IR"/>
          <w:rtl w:val="1"/>
        </w:rPr>
        <w:t>۱۳ اکتبر ۲۰۲۶</w:t>
      </w:r>
    </w:p>
    <w:p>
      <w:pPr>
        <w:pStyle w:val="Heading1"/>
        <w:bidi w:val="1"/>
        <w:ind w:firstLine="0"/>
        <w:jc w:val="start"/>
      </w:pPr>
      <w:r>
        <w:rPr>
          <w:rFonts w:ascii="Noto Kufi Arabic" w:hAnsi="Noto Kufi Arabic" w:eastAsia="Noto Kufi Arabic" w:cs="Noto Kufi Arabic"/>
          <w:b/>
          <w:color w:val="000000"/>
          <w:sz w:val="32"/>
          <w:i w:val="0"/>
          <w:iCs w:val="0"/>
          <w:szCs w:val="32"/>
          <w:lang w:val="fa-IR" w:bidi="fa-IR"/>
          <w:rtl w:val="1"/>
          <w:b w:val="1"/>
          <w:bCs w:val="1"/>
        </w:rPr>
        <w:t>چکیده</w:t>
      </w:r>
    </w:p>
    <w:p>
      <w:pPr>
        <w:bidi w:val="1"/>
        <w:ind w:firstLine="0"/>
        <w:jc w:val="start"/>
      </w:pPr>
      <w:r>
        <w:rPr>
          <w:rFonts w:ascii="Noto Naskh Arabic" w:hAnsi="Noto Naskh Arabic" w:eastAsia="Noto Naskh Arabic" w:cs="Noto Naskh Arabic"/>
          <w:b w:val="0"/>
          <w:color w:val="000000"/>
          <w:sz w:val="26"/>
          <w:i w:val="0"/>
          <w:iCs w:val="0"/>
          <w:szCs w:val="26"/>
          <w:lang w:val="fa-IR" w:bidi="fa-IR"/>
          <w:rtl w:val="1"/>
        </w:rPr>
        <w:t>ایران نوین زمانی ساخته می‌شود که ایرانیان، با حفظ اختلاف‌های سیاسی و اجتماعی خود، مسئولیت سرنوشت مشترکشان را بپذیرند. در این مقاله، از دیدگاه یک مشروطه‌خواه، حمایت از شاهزاده رضا پهلوی را پیمانی ملی برای گذار به حکومتی سکولار، دموکراتیک و پاسخ‌گو تعریف می‌کنم. در چنین پیمانی، کارآفرینان، کارگران، فعالان محیط زیست، مدافعان حقوق زنان و جوامع دینی هر یک مسئولیتی مشخص دارند و هیچ‌کدام مالک انحصاری ایران نیستند. استدلال من این است که پهلویسم آینده‌گرا باید با حقوق برابر شهروندان، استقلال نهادها، شفافیت مالی و مشارکت عمومی سنجیده شود. وفاداری به رهبری ملی هنگامی سازنده است که با آزادی نقد و کارنامهٔ قابل بررسی همراه باشد. پیشنهادهای مقاله، از گفت‌وگوی کار و سرمایه تا سامانهٔ مشارکت شهروندی، چارچوبی برای بحث و نهادسازی‌اند و اجرای آنها به قانون، منابع و ارزیابی مستقل نیاز دارد.</w:t>
      </w:r>
    </w:p>
    <w:p>
      <w:pPr>
        <w:bidi w:val="1"/>
        <w:ind w:firstLine="0"/>
        <w:jc w:val="start"/>
      </w:pPr>
      <w:r>
        <w:rPr>
          <w:rFonts w:ascii="Noto Naskh Arabic" w:hAnsi="Noto Naskh Arabic" w:eastAsia="Noto Naskh Arabic" w:cs="Noto Naskh Arabic"/>
          <w:b w:val="0"/>
          <w:color w:val="000000"/>
          <w:sz w:val="23"/>
          <w:i w:val="0"/>
          <w:iCs w:val="0"/>
          <w:szCs w:val="23"/>
          <w:lang w:val="fa-IR" w:bidi="fa-IR"/>
          <w:rtl w:val="1"/>
        </w:rPr>
        <w:t>کلیدواژه‌ها: ایران نوین؛ شاهزاده رضا پهلوی؛ پهلویسم آینده‌گرا؛ پادشاهی مشروطه؛ شهروندی برابر؛ شفافیت؛ مشارکت عمومی؛ جنبش شیر و خورشید</w:t>
      </w:r>
    </w:p>
    <w:p>
      <w:pPr>
        <w:pStyle w:val="Heading1"/>
        <w:bidi w:val="1"/>
        <w:ind w:firstLine="0"/>
        <w:jc w:val="start"/>
      </w:pPr>
      <w:r>
        <w:rPr>
          <w:rFonts w:ascii="Noto Kufi Arabic" w:hAnsi="Noto Kufi Arabic" w:eastAsia="Noto Kufi Arabic" w:cs="Noto Kufi Arabic"/>
          <w:b/>
          <w:color w:val="000000"/>
          <w:sz w:val="32"/>
          <w:i w:val="0"/>
          <w:iCs w:val="0"/>
          <w:szCs w:val="32"/>
          <w:lang w:val="fa-IR" w:bidi="fa-IR"/>
          <w:rtl w:val="1"/>
          <w:b w:val="1"/>
          <w:bCs w:val="1"/>
        </w:rPr>
        <w:t>روش و چارچوب تحلیل</w:t>
      </w:r>
    </w:p>
    <w:p>
      <w:pPr>
        <w:bidi w:val="1"/>
        <w:ind w:firstLine="340"/>
        <w:jc w:val="start"/>
      </w:pPr>
      <w:r>
        <w:rPr>
          <w:rFonts w:ascii="Noto Naskh Arabic" w:hAnsi="Noto Naskh Arabic" w:eastAsia="Noto Naskh Arabic" w:cs="Noto Naskh Arabic"/>
          <w:b w:val="0"/>
          <w:color w:val="000000"/>
          <w:sz w:val="26"/>
          <w:i w:val="0"/>
          <w:iCs w:val="0"/>
          <w:szCs w:val="26"/>
          <w:lang w:val="fa-IR" w:bidi="fa-IR"/>
          <w:rtl w:val="1"/>
        </w:rPr>
        <w:t>این مقاله با روش تحلیل مفهومی و بررسی اسناد حقوقی و راهنماهای سیاست‌گذاری نوشته شده است. مبنای هنجاری آن، دیدگاه من دربارهٔ آیندهٔ ایران است؛ اسناد حقوق بشر، گفت‌وگوی اجتماعی، حفاظت از محیط زیست و مشارکت شهروندی برای روشن‌کردن معیارهای نهادی به کار می‌روند. مقاله پژوهش میدانی یا سنجش آماری محبوبیت اشخاص نیست. تعریف پهلویسم و تقسیم مسئولیت‌های پیشنهادی، صورت‌بندی نویسنده‌اند و نباید به‌عنوان تعهد رسمی همهٔ گروه‌های سیاسی یا برنامهٔ مصوب شاهزاده خوانده شوند.</w:t>
      </w:r>
    </w:p>
    <w:p>
      <w:pPr>
        <w:pStyle w:val="Heading1"/>
        <w:bidi w:val="1"/>
        <w:ind w:firstLine="0"/>
        <w:jc w:val="start"/>
      </w:pPr>
      <w:r>
        <w:rPr>
          <w:rFonts w:ascii="Noto Kufi Arabic" w:hAnsi="Noto Kufi Arabic" w:eastAsia="Noto Kufi Arabic" w:cs="Noto Kufi Arabic"/>
          <w:b/>
          <w:color w:val="000000"/>
          <w:sz w:val="32"/>
          <w:i w:val="0"/>
          <w:iCs w:val="0"/>
          <w:szCs w:val="32"/>
          <w:lang w:val="fa-IR" w:bidi="fa-IR"/>
          <w:rtl w:val="1"/>
          <w:b w:val="1"/>
          <w:bCs w:val="1"/>
        </w:rPr>
        <w:t>ایران به‌مثابه مسئولیتی مشترک</w:t>
      </w:r>
    </w:p>
    <w:p>
      <w:pPr>
        <w:bidi w:val="1"/>
        <w:ind w:firstLine="340"/>
        <w:jc w:val="start"/>
      </w:pPr>
      <w:r>
        <w:rPr>
          <w:rFonts w:ascii="Noto Naskh Arabic" w:hAnsi="Noto Naskh Arabic" w:eastAsia="Noto Naskh Arabic" w:cs="Noto Naskh Arabic"/>
          <w:b w:val="0"/>
          <w:color w:val="000000"/>
          <w:sz w:val="26"/>
          <w:i w:val="0"/>
          <w:iCs w:val="0"/>
          <w:szCs w:val="26"/>
          <w:lang w:val="fa-IR" w:bidi="fa-IR"/>
          <w:rtl w:val="1"/>
        </w:rPr>
        <w:t>وقتی از تمدن‌سازان ایران نوین سخن می‌گویم، ایرانی را در نظر دارم که مردم آن بتوانند کشور را در کلیت خود ببینند. ایران مجموعه‌ای از زندگی‌ها، زبان‌ها، باورها، حرفه‌ها و تجربه‌های متفاوت است. آیندهٔ آن را نمی‌توان به سود یک حزب، یک طبقه، یک خاندان یا یک گروه مذهبی طراحی کرد. هر تصمیمی که دربارهٔ اقتصاد، سیاست یا فرهنگ می‌گیریم باید با این پرسش سنجیده شود که برای مردم سراسر ایران چه پیامدی دارد.</w:t>
      </w:r>
    </w:p>
    <w:p>
      <w:pPr>
        <w:bidi w:val="1"/>
        <w:ind w:firstLine="340"/>
        <w:jc w:val="start"/>
      </w:pPr>
      <w:r>
        <w:rPr>
          <w:rFonts w:ascii="Noto Naskh Arabic" w:hAnsi="Noto Naskh Arabic" w:eastAsia="Noto Naskh Arabic" w:cs="Noto Naskh Arabic"/>
          <w:b w:val="0"/>
          <w:color w:val="000000"/>
          <w:sz w:val="26"/>
          <w:i w:val="0"/>
          <w:iCs w:val="0"/>
          <w:szCs w:val="26"/>
          <w:lang w:val="fa-IR" w:bidi="fa-IR"/>
          <w:rtl w:val="1"/>
        </w:rPr>
        <w:t>این نگاه، اختلاف را از جامعه حذف نمی‌کند. منافع کارگر و کارفرما همیشه یکسان نیست؛ اولویت‌های شهرهای بزرگ و روستاها نیز ممکن است تفاوت داشته باشد. مسئولیت ملی یعنی این تفاوت‌ها را در نهادهای مشترک به رسمیت بشناسیم و برای حل آنها قاعده بسازیم. وابستگی ما به یک سرزمین، زمانی به انسجام ملی تبدیل می‌شود که هر ایرانی بداند حق او به عضویت در گروه پیروز وابسته نیست.</w:t>
      </w:r>
    </w:p>
    <w:p>
      <w:pPr>
        <w:bidi w:val="1"/>
        <w:ind w:firstLine="340"/>
        <w:jc w:val="start"/>
      </w:pPr>
      <w:r>
        <w:rPr>
          <w:rFonts w:ascii="Noto Naskh Arabic" w:hAnsi="Noto Naskh Arabic" w:eastAsia="Noto Naskh Arabic" w:cs="Noto Naskh Arabic"/>
          <w:b w:val="0"/>
          <w:color w:val="000000"/>
          <w:sz w:val="26"/>
          <w:i w:val="0"/>
          <w:iCs w:val="0"/>
          <w:szCs w:val="26"/>
          <w:lang w:val="fa-IR" w:bidi="fa-IR"/>
          <w:rtl w:val="1"/>
        </w:rPr>
        <w:t>تعبیر «ایران خانه و معبد ماست» برای من بیان مسئولیت در برابر این زندگی مشترک است. حرمت ایران را در احترام به انسان، حفظ طبیعت و درستکاری در ادارهٔ امور می‌فهمم. ایرانیت با همین رفتارهای روزمره معنا پیدا می‌کند؛ با کیفیت مدرسه و بیمارستان، با امانت‌داری در بودجهٔ عمومی و با امنیت کسی که نظرش با ما متفاوت است.</w:t>
      </w:r>
    </w:p>
    <w:p>
      <w:pPr>
        <w:pStyle w:val="Heading1"/>
        <w:bidi w:val="1"/>
        <w:ind w:firstLine="0"/>
        <w:jc w:val="start"/>
      </w:pPr>
      <w:r>
        <w:rPr>
          <w:rFonts w:ascii="Noto Kufi Arabic" w:hAnsi="Noto Kufi Arabic" w:eastAsia="Noto Kufi Arabic" w:cs="Noto Kufi Arabic"/>
          <w:b/>
          <w:color w:val="000000"/>
          <w:sz w:val="32"/>
          <w:i w:val="0"/>
          <w:iCs w:val="0"/>
          <w:szCs w:val="32"/>
          <w:lang w:val="fa-IR" w:bidi="fa-IR"/>
          <w:rtl w:val="1"/>
          <w:b w:val="1"/>
          <w:bCs w:val="1"/>
        </w:rPr>
        <w:t>پیمان ملی و جایگاه شاهزاده رضا پهلوی</w:t>
      </w:r>
    </w:p>
    <w:p>
      <w:pPr>
        <w:bidi w:val="1"/>
        <w:ind w:firstLine="340"/>
        <w:jc w:val="start"/>
      </w:pPr>
      <w:r>
        <w:rPr>
          <w:rFonts w:ascii="Noto Naskh Arabic" w:hAnsi="Noto Naskh Arabic" w:eastAsia="Noto Naskh Arabic" w:cs="Noto Naskh Arabic"/>
          <w:b w:val="0"/>
          <w:color w:val="000000"/>
          <w:sz w:val="26"/>
          <w:i w:val="0"/>
          <w:iCs w:val="0"/>
          <w:szCs w:val="26"/>
          <w:lang w:val="fa-IR" w:bidi="fa-IR"/>
          <w:rtl w:val="1"/>
        </w:rPr>
        <w:t>در نگاه من، دفاع از شاهزاده رضا پهلوی به معنای دفاع از شخص او برای کسب موقعیت نیست. این حمایت، پیمانی ملی با مرکزیت او برای عبور از جمهوری اسلامی و ساختن چارچوبی مشترک است. جایگاه رهبری ملی باید به نیروهای پراکنده امکان همکاری بدهد، اعتماد عمومی را تقویت کند و میدان را برای انتخاب آزاد مردم آماده سازد. شاهزاده در این تصویر، محور هماهنگی است و نهادهای جامعه باید بتوانند مسئولیت خود را مستقل و پاسخ‌گو انجام دهند.</w:t>
      </w:r>
    </w:p>
    <w:p>
      <w:pPr>
        <w:bidi w:val="1"/>
        <w:ind w:firstLine="340"/>
        <w:jc w:val="start"/>
      </w:pPr>
      <w:r>
        <w:rPr>
          <w:rFonts w:ascii="Noto Naskh Arabic" w:hAnsi="Noto Naskh Arabic" w:eastAsia="Noto Naskh Arabic" w:cs="Noto Naskh Arabic"/>
          <w:b w:val="0"/>
          <w:color w:val="000000"/>
          <w:sz w:val="26"/>
          <w:i w:val="0"/>
          <w:iCs w:val="0"/>
          <w:szCs w:val="26"/>
          <w:lang w:val="fa-IR" w:bidi="fa-IR"/>
          <w:rtl w:val="1"/>
        </w:rPr>
        <w:t>در وب‌سایت رسمی شاهزاده، انتخابات آزاد، جدایی دین و دولت، نهادسازی، حقوق بشر و برابری شهروندان در شمار اصول بنیادین آمده‌اند. این اصول، مبنایی برای گفت‌وگو دربارهٔ حدود رهبری و حق انتخاب مردم فراهم می‌کنند. حمایت من از نقش او تفسیری سیاسی است؛ از این حمایت نمی‌توان ادعای نمایندگی همهٔ ایرانیان یا تضمین نتیجهٔ گذار را استخراج کرد. [۳]</w:t>
      </w:r>
    </w:p>
    <w:p>
      <w:pPr>
        <w:bidi w:val="1"/>
        <w:ind w:firstLine="340"/>
        <w:jc w:val="start"/>
      </w:pPr>
      <w:r>
        <w:rPr>
          <w:rFonts w:ascii="Noto Naskh Arabic" w:hAnsi="Noto Naskh Arabic" w:eastAsia="Noto Naskh Arabic" w:cs="Noto Naskh Arabic"/>
          <w:b w:val="0"/>
          <w:color w:val="000000"/>
          <w:sz w:val="26"/>
          <w:i w:val="0"/>
          <w:iCs w:val="0"/>
          <w:szCs w:val="26"/>
          <w:lang w:val="fa-IR" w:bidi="fa-IR"/>
          <w:rtl w:val="1"/>
        </w:rPr>
        <w:t>من پادشاهی مشروطه را ترجیح می‌دهم، اما مشروعیت نظام آینده باید از روند آزاد تدوین قانون اساسی و رأی مردم به دست آید. شهروندی که جمهوری را ترجیح می‌دهد نیز باید از همهٔ حقوق برخوردار باشد. حق مشارکت در حکومت و دسترسی برابر به خدمت عمومی در مادهٔ ۲۱ اعلامیهٔ جهانی حقوق بشر به رسمیت شناخته شده است. پیمانی که برای آزادی بسته می‌شود باید این حق را برای مخالفان سیاسی خود نیز محترم بشمارد. [۱]</w:t>
      </w:r>
    </w:p>
    <w:p>
      <w:pPr>
        <w:pStyle w:val="Heading1"/>
        <w:bidi w:val="1"/>
        <w:ind w:firstLine="0"/>
        <w:jc w:val="start"/>
      </w:pPr>
      <w:r>
        <w:rPr>
          <w:rFonts w:ascii="Noto Kufi Arabic" w:hAnsi="Noto Kufi Arabic" w:eastAsia="Noto Kufi Arabic" w:cs="Noto Kufi Arabic"/>
          <w:b/>
          <w:color w:val="000000"/>
          <w:sz w:val="32"/>
          <w:i w:val="0"/>
          <w:iCs w:val="0"/>
          <w:szCs w:val="32"/>
          <w:lang w:val="fa-IR" w:bidi="fa-IR"/>
          <w:rtl w:val="1"/>
          <w:b w:val="1"/>
          <w:bCs w:val="1"/>
        </w:rPr>
        <w:t>پهلویسم آینده‌گرا و نوسازی با مشارکت مردم</w:t>
      </w:r>
    </w:p>
    <w:p>
      <w:pPr>
        <w:bidi w:val="1"/>
        <w:ind w:firstLine="340"/>
        <w:jc w:val="start"/>
      </w:pPr>
      <w:r>
        <w:rPr>
          <w:rFonts w:ascii="Noto Naskh Arabic" w:hAnsi="Noto Naskh Arabic" w:eastAsia="Noto Naskh Arabic" w:cs="Noto Naskh Arabic"/>
          <w:b w:val="0"/>
          <w:color w:val="000000"/>
          <w:sz w:val="26"/>
          <w:i w:val="0"/>
          <w:iCs w:val="0"/>
          <w:szCs w:val="26"/>
          <w:lang w:val="fa-IR" w:bidi="fa-IR"/>
          <w:rtl w:val="1"/>
        </w:rPr>
        <w:t>پهلویسم در برداشت من، پیوند مدرنیسم، سکولاریسم، تخصص و حقوق شهروندی است. این تعریف را به‌عنوان قرائت آینده‌گرای خود ارائه می‌کنم، نه تعریفی که همهٔ هواداران پهلوی الزاماً پذیرفته‌اند. در نوشته‌های پیشین نیز بر پیوند میراث نوسازی با حاکمیت قانون و حق انتخاب مردم تأکید کرده‌ام. تمدن‌سازی نیازمند توان آموختن از دستاوردها و خطاهای گذشته است. [۲، ۱۲] جنبش شیر و خورشید را در این برداشت، جنبشی برای حقوق بشر و مدرن‌سازی ایران با همراهی مردم می‌دانم.</w:t>
      </w:r>
    </w:p>
    <w:p>
      <w:pPr>
        <w:bidi w:val="1"/>
        <w:ind w:firstLine="340"/>
        <w:jc w:val="start"/>
      </w:pPr>
      <w:r>
        <w:rPr>
          <w:rFonts w:ascii="Noto Naskh Arabic" w:hAnsi="Noto Naskh Arabic" w:eastAsia="Noto Naskh Arabic" w:cs="Noto Naskh Arabic"/>
          <w:b w:val="0"/>
          <w:color w:val="000000"/>
          <w:sz w:val="26"/>
          <w:i w:val="0"/>
          <w:iCs w:val="0"/>
          <w:szCs w:val="26"/>
          <w:lang w:val="fa-IR" w:bidi="fa-IR"/>
          <w:rtl w:val="1"/>
        </w:rPr>
        <w:t>تکنوکراسی زمانی به جامعه خدمت می‌کند که دانش کارشناسی در اختیار نهادهای پاسخ‌گو قرار گیرد. پزشک، مهندس، اقتصاددان یا مدیر باید مسئله را روشن کند و پیامدهای گزینه‌ها را توضیح دهد؛ تصمیم عمومی نیز باید از مسیر قانونی و قابل نظارت گرفته شود. تخصص، مجوز حذف مردم از تصمیم‌گیری نیست. همان‌گونه که رأی عمومی جای دانش تخصصی را نمی‌گیرد، مدرک دانشگاهی نیز جانشین مشروعیت دموکراتیک نمی‌شود.</w:t>
      </w:r>
    </w:p>
    <w:p>
      <w:pPr>
        <w:bidi w:val="1"/>
        <w:ind w:firstLine="340"/>
        <w:jc w:val="start"/>
      </w:pPr>
      <w:r>
        <w:rPr>
          <w:rFonts w:ascii="Noto Naskh Arabic" w:hAnsi="Noto Naskh Arabic" w:eastAsia="Noto Naskh Arabic" w:cs="Noto Naskh Arabic"/>
          <w:b w:val="0"/>
          <w:color w:val="000000"/>
          <w:sz w:val="26"/>
          <w:i w:val="0"/>
          <w:iCs w:val="0"/>
          <w:szCs w:val="26"/>
          <w:lang w:val="fa-IR" w:bidi="fa-IR"/>
          <w:rtl w:val="1"/>
        </w:rPr>
        <w:t>نوسازی مطلوب من با مشارکت ملت پیش می‌رود. دولت باید ظرفیت ادارهٔ کشور را داشته باشد و جامعه نیز باید بتواند از طریق شوراها، اتحادیه‌ها، انجمن‌ها، رسانه‌ها و احزاب بر آن اثر بگذارد. شهروند شدن یعنی داشتن حق و مسئولیت در کنار یکدیگر؛ یعنی فرد بتواند دربارهٔ آیندهٔ کشور نظر بدهد، تصمیم حکومت را نقد کند و برای بهبود زندگی مشترک سازمان بیابد.</w:t>
      </w:r>
    </w:p>
    <w:p>
      <w:pPr>
        <w:pStyle w:val="Heading1"/>
        <w:bidi w:val="1"/>
        <w:ind w:firstLine="0"/>
        <w:jc w:val="start"/>
      </w:pPr>
      <w:r>
        <w:rPr>
          <w:rFonts w:ascii="Noto Kufi Arabic" w:hAnsi="Noto Kufi Arabic" w:eastAsia="Noto Kufi Arabic" w:cs="Noto Kufi Arabic"/>
          <w:b/>
          <w:color w:val="000000"/>
          <w:sz w:val="32"/>
          <w:i w:val="0"/>
          <w:iCs w:val="0"/>
          <w:szCs w:val="32"/>
          <w:lang w:val="fa-IR" w:bidi="fa-IR"/>
          <w:rtl w:val="1"/>
          <w:b w:val="1"/>
          <w:bCs w:val="1"/>
        </w:rPr>
        <w:t>کارآفرینی و سازمان‌یابی کارگران</w:t>
      </w:r>
    </w:p>
    <w:p>
      <w:pPr>
        <w:bidi w:val="1"/>
        <w:ind w:firstLine="340"/>
        <w:jc w:val="start"/>
      </w:pPr>
      <w:r>
        <w:rPr>
          <w:rFonts w:ascii="Noto Naskh Arabic" w:hAnsi="Noto Naskh Arabic" w:eastAsia="Noto Naskh Arabic" w:cs="Noto Naskh Arabic"/>
          <w:b w:val="0"/>
          <w:color w:val="000000"/>
          <w:sz w:val="26"/>
          <w:i w:val="0"/>
          <w:iCs w:val="0"/>
          <w:szCs w:val="26"/>
          <w:lang w:val="fa-IR" w:bidi="fa-IR"/>
          <w:rtl w:val="1"/>
        </w:rPr>
        <w:t>در تصویر پیشنهادی من، نیروهای راست و مدافع اقتصاد بازار می‌توانند توان خود را صرف یافتن سرمایه، فناوری، مدیران خلاق و کارآفرینان برای آیندهٔ ایران کنند. این جست‌وجو باید به طرح‌های قابل ارزیابی برسد: سرمایه از کجا می‌آید، مالکیت چگونه است، چه شغلی ایجاد می‌شود و چه تعهدی در برابر جامعه و طبیعت وجود دارد؟ جذب سرمایه وقتی به بازسازی کمک می‌کند که قراردادها روشن و رقابت منصفانه باشد.</w:t>
      </w:r>
    </w:p>
    <w:p>
      <w:pPr>
        <w:bidi w:val="1"/>
        <w:ind w:firstLine="340"/>
        <w:jc w:val="start"/>
      </w:pPr>
      <w:r>
        <w:rPr>
          <w:rFonts w:ascii="Noto Naskh Arabic" w:hAnsi="Noto Naskh Arabic" w:eastAsia="Noto Naskh Arabic" w:cs="Noto Naskh Arabic"/>
          <w:b w:val="0"/>
          <w:color w:val="000000"/>
          <w:sz w:val="26"/>
          <w:i w:val="0"/>
          <w:iCs w:val="0"/>
          <w:szCs w:val="26"/>
          <w:lang w:val="fa-IR" w:bidi="fa-IR"/>
          <w:rtl w:val="1"/>
        </w:rPr>
        <w:t>نیروهای چپ و مدافع عدالت اجتماعی نیز می‌توانند سازمان‌یابی مستقل کارگران و تقویت اتحادیه‌ها و سندیکاها را پیش ببرند. صدای نیروی کار باید دربارهٔ دستمزد، ایمنی، ساعات کار و امنیت شغلی شنیده شود. این تشکل‌ها باید نمایندگان واقعی اعضای خود باشند و بتوانند بدون وابستگی به دولت یا حزب حاکم مذاکره کنند.</w:t>
      </w:r>
    </w:p>
    <w:p>
      <w:pPr>
        <w:bidi w:val="1"/>
        <w:ind w:firstLine="340"/>
        <w:jc w:val="start"/>
      </w:pPr>
      <w:r>
        <w:rPr>
          <w:rFonts w:ascii="Noto Naskh Arabic" w:hAnsi="Noto Naskh Arabic" w:eastAsia="Noto Naskh Arabic" w:cs="Noto Naskh Arabic"/>
          <w:b w:val="0"/>
          <w:color w:val="000000"/>
          <w:sz w:val="26"/>
          <w:i w:val="0"/>
          <w:iCs w:val="0"/>
          <w:szCs w:val="26"/>
          <w:lang w:val="fa-IR" w:bidi="fa-IR"/>
          <w:rtl w:val="1"/>
        </w:rPr>
        <w:t>سازمان بین‌المللی کار، گفت‌وگوی اجتماعی را شامل مذاکره، مشورت و تبادل اطلاعات میان نمایندگان دولت، کارفرمایان و کارگران دربارهٔ مسائل مشترک اقتصادی و اجتماعی می‌داند. پیشنهاد من، ایجاد سازوکاری پایدار برای چنین گفت‌وگویی در ایران است؛ سازوکاری که در آن داده‌های اقتصادی و شرایط زندگی مردم مبنای بحث قرار گیرد. [۴]</w:t>
      </w:r>
    </w:p>
    <w:p>
      <w:pPr>
        <w:bidi w:val="1"/>
        <w:ind w:firstLine="340"/>
        <w:jc w:val="start"/>
      </w:pPr>
      <w:r>
        <w:rPr>
          <w:rFonts w:ascii="Noto Naskh Arabic" w:hAnsi="Noto Naskh Arabic" w:eastAsia="Noto Naskh Arabic" w:cs="Noto Naskh Arabic"/>
          <w:b w:val="0"/>
          <w:color w:val="000000"/>
          <w:sz w:val="26"/>
          <w:i w:val="0"/>
          <w:iCs w:val="0"/>
          <w:szCs w:val="26"/>
          <w:lang w:val="fa-IR" w:bidi="fa-IR"/>
          <w:rtl w:val="1"/>
        </w:rPr>
        <w:t>رشد اقتصادی، بهره‌وری، تورم و هزینهٔ زندگی باید هم‌زمان بررسی شوند. حقوق پایهٔ کارگران را نمی‌توان تا رسیدن به رشد به تعویق انداخت؛ در عین حال، دوام بنگاه و امکان سرمایه‌گذاری نیز باید دیده شود. تقسیم نقش میان چپ و راست در این مقاله پیشنهادی برای همکاری است و آنها را در وظایفی ثابت محصور نمی‌کند. هر حزب می‌تواند برنامه‌ای جامع عرضه کند و برای آن رأی بخواهد.</w:t>
      </w:r>
    </w:p>
    <w:p>
      <w:pPr>
        <w:pStyle w:val="Heading1"/>
        <w:bidi w:val="1"/>
        <w:ind w:firstLine="0"/>
        <w:jc w:val="start"/>
      </w:pPr>
      <w:r>
        <w:rPr>
          <w:rFonts w:ascii="Noto Kufi Arabic" w:hAnsi="Noto Kufi Arabic" w:eastAsia="Noto Kufi Arabic" w:cs="Noto Kufi Arabic"/>
          <w:b/>
          <w:color w:val="000000"/>
          <w:sz w:val="32"/>
          <w:i w:val="0"/>
          <w:iCs w:val="0"/>
          <w:szCs w:val="32"/>
          <w:lang w:val="fa-IR" w:bidi="fa-IR"/>
          <w:rtl w:val="1"/>
          <w:b w:val="1"/>
          <w:bCs w:val="1"/>
        </w:rPr>
        <w:t>محیط زیست در قلب بازسازی ایران</w:t>
      </w:r>
    </w:p>
    <w:p>
      <w:pPr>
        <w:bidi w:val="1"/>
        <w:ind w:firstLine="340"/>
        <w:jc w:val="start"/>
      </w:pPr>
      <w:r>
        <w:rPr>
          <w:rFonts w:ascii="Noto Naskh Arabic" w:hAnsi="Noto Naskh Arabic" w:eastAsia="Noto Naskh Arabic" w:cs="Noto Naskh Arabic"/>
          <w:b w:val="0"/>
          <w:color w:val="000000"/>
          <w:sz w:val="26"/>
          <w:i w:val="0"/>
          <w:iCs w:val="0"/>
          <w:szCs w:val="26"/>
          <w:lang w:val="fa-IR" w:bidi="fa-IR"/>
          <w:rtl w:val="1"/>
        </w:rPr>
        <w:t>ایران نوین باید جایی باشد که زندگی انسان با بقای آب، خاک، گیاهان و جانوران سازگار بماند. فعالان محیط زیست در کنار رهبری ملی، مسئولیتی دارند که به دورهٔ پس از گذار محدود نمی‌شود. آنها می‌توانند از امروز اطلاعات معتبر گرد آورند، پیامدهای طرح‌های توسعه را بررسی کنند و مطالبات محلی را به برنامهٔ ملی پیوند دهند.</w:t>
      </w:r>
    </w:p>
    <w:p>
      <w:pPr>
        <w:bidi w:val="1"/>
        <w:ind w:firstLine="340"/>
        <w:jc w:val="start"/>
      </w:pPr>
      <w:r>
        <w:rPr>
          <w:rFonts w:ascii="Noto Naskh Arabic" w:hAnsi="Noto Naskh Arabic" w:eastAsia="Noto Naskh Arabic" w:cs="Noto Naskh Arabic"/>
          <w:b w:val="0"/>
          <w:color w:val="000000"/>
          <w:sz w:val="26"/>
          <w:i w:val="0"/>
          <w:iCs w:val="0"/>
          <w:szCs w:val="26"/>
          <w:lang w:val="fa-IR" w:bidi="fa-IR"/>
          <w:rtl w:val="1"/>
        </w:rPr>
        <w:t>اصول چارچوبی حقوق بشر و محیط زیست، بر دسترسی به اطلاعات، ارزیابی پیشینی پیامدهای پروژه‌ها، مشارکت عمومی و امکان دادخواهی تأکید می‌کنند. این معیارها نشان می‌دهند که حفاظت از طبیعت باید در فرایند تصمیم‌گیری حضور داشته باشد. [۵] من پیشنهاد می‌کنم پروژه‌های بزرگ بازسازی، پیش از تصویب، اثر خود بر منابع طبیعی و زندگی جوامع محلی را به‌صورت عمومی توضیح دهند.</w:t>
      </w:r>
    </w:p>
    <w:p>
      <w:pPr>
        <w:bidi w:val="1"/>
        <w:ind w:firstLine="340"/>
        <w:jc w:val="start"/>
      </w:pPr>
      <w:r>
        <w:rPr>
          <w:rFonts w:ascii="Noto Naskh Arabic" w:hAnsi="Noto Naskh Arabic" w:eastAsia="Noto Naskh Arabic" w:cs="Noto Naskh Arabic"/>
          <w:b w:val="0"/>
          <w:color w:val="000000"/>
          <w:sz w:val="26"/>
          <w:i w:val="0"/>
          <w:iCs w:val="0"/>
          <w:szCs w:val="26"/>
          <w:lang w:val="fa-IR" w:bidi="fa-IR"/>
          <w:rtl w:val="1"/>
        </w:rPr>
        <w:t>وقتی ایران را معبد خود می‌نامیم، باید بتوانیم در برابر تصمیمی که به طبیعت آن آسیب می‌زند مسئولانه بایستیم، حتی اگر آن تصمیم از سوی جریان سیاسی مورد حمایت ما گرفته شده باشد. رفاه امروز نباید با تخریب شرایط زندگی نسل بعد تأمین شود. حفاظت از زیستگاه‌ها، مقابله با آزار حیوانات و مدیریت علمی منابع، باید در قانون و بودجه جایگاهی روشن داشته باشند.</w:t>
      </w:r>
    </w:p>
    <w:p>
      <w:pPr>
        <w:pStyle w:val="Heading1"/>
        <w:bidi w:val="1"/>
        <w:ind w:firstLine="0"/>
        <w:jc w:val="start"/>
      </w:pPr>
      <w:r>
        <w:rPr>
          <w:rFonts w:ascii="Noto Kufi Arabic" w:hAnsi="Noto Kufi Arabic" w:eastAsia="Noto Kufi Arabic" w:cs="Noto Kufi Arabic"/>
          <w:b/>
          <w:color w:val="000000"/>
          <w:sz w:val="32"/>
          <w:i w:val="0"/>
          <w:iCs w:val="0"/>
          <w:szCs w:val="32"/>
          <w:lang w:val="fa-IR" w:bidi="fa-IR"/>
          <w:rtl w:val="1"/>
          <w:b w:val="1"/>
          <w:bCs w:val="1"/>
        </w:rPr>
        <w:t>حقوق زنان و برابری در سراسر ایران</w:t>
      </w:r>
    </w:p>
    <w:p>
      <w:pPr>
        <w:bidi w:val="1"/>
        <w:ind w:firstLine="340"/>
        <w:jc w:val="start"/>
      </w:pPr>
      <w:r>
        <w:rPr>
          <w:rFonts w:ascii="Noto Naskh Arabic" w:hAnsi="Noto Naskh Arabic" w:eastAsia="Noto Naskh Arabic" w:cs="Noto Naskh Arabic"/>
          <w:b w:val="0"/>
          <w:color w:val="000000"/>
          <w:sz w:val="26"/>
          <w:i w:val="0"/>
          <w:iCs w:val="0"/>
          <w:szCs w:val="26"/>
          <w:lang w:val="fa-IR" w:bidi="fa-IR"/>
          <w:rtl w:val="1"/>
        </w:rPr>
        <w:t>احترام به حقوق زنان، برای من نشانهٔ احترام به جامعه و ایرانیت است. این احترام باید در زندگی واقعی زنان دیده شود؛ در اختیار تصمیم‌گیری دربارهٔ بدن و پوشش، در امنیت خانه و خیابان، در دسترسی به آموزش و کار و در امکان حضور در مدیریت کشور. برابری نباید فقط تجربهٔ زنان برخوردار در چند شهر بزرگ باشد.</w:t>
      </w:r>
    </w:p>
    <w:p>
      <w:pPr>
        <w:bidi w:val="1"/>
        <w:ind w:firstLine="340"/>
        <w:jc w:val="start"/>
      </w:pPr>
      <w:r>
        <w:rPr>
          <w:rFonts w:ascii="Noto Naskh Arabic" w:hAnsi="Noto Naskh Arabic" w:eastAsia="Noto Naskh Arabic" w:cs="Noto Naskh Arabic"/>
          <w:b w:val="0"/>
          <w:color w:val="000000"/>
          <w:sz w:val="26"/>
          <w:i w:val="0"/>
          <w:iCs w:val="0"/>
          <w:szCs w:val="26"/>
          <w:lang w:val="fa-IR" w:bidi="fa-IR"/>
          <w:rtl w:val="1"/>
        </w:rPr>
        <w:t>فعالان حقوق زنان باید بتوانند با زنان روستاها، مناطق محروم و جوامع قومی و زبانی همکاری کنند. برنامه‌ای که تفاوت شرایط زندگی را نمی‌بیند ممکن است در اجرا بسیاری را کنار بگذارد. خدمات حقوقی، آموزش، امکانات درمانی و حمایت در برابر خشونت باید به جایی برسند که نیاز وجود دارد. مشارکت خود زنان در طراحی این برنامه‌ها ضروری است.</w:t>
      </w:r>
    </w:p>
    <w:p>
      <w:pPr>
        <w:bidi w:val="1"/>
        <w:ind w:firstLine="340"/>
        <w:jc w:val="start"/>
      </w:pPr>
      <w:r>
        <w:rPr>
          <w:rFonts w:ascii="Noto Naskh Arabic" w:hAnsi="Noto Naskh Arabic" w:eastAsia="Noto Naskh Arabic" w:cs="Noto Naskh Arabic"/>
          <w:b w:val="0"/>
          <w:color w:val="000000"/>
          <w:sz w:val="26"/>
          <w:i w:val="0"/>
          <w:iCs w:val="0"/>
          <w:szCs w:val="26"/>
          <w:lang w:val="fa-IR" w:bidi="fa-IR"/>
          <w:rtl w:val="1"/>
        </w:rPr>
        <w:t>همین منطق دربارهٔ کودکان، سالمندان، افراد دارای معلولیت و اقلیت‌های قومی و دینی نیز صدق می‌کند. برابری به معنای نادیده‌گرفتن نیازهای متفاوت نیست؛ گاه برای دسترسی برابر باید حمایت متناسب فراهم کرد. اصل منع تبعیض و برابری در برابر قانون در مواد ۲ و ۷ اعلامیهٔ جهانی حقوق بشر، مبنای این جهت‌گیری است. [۱] پیشنهاد من آن است که سیاست‌های عمومی با میزان دسترسی واقعی گروه‌های مختلف سنجیده شوند.</w:t>
      </w:r>
    </w:p>
    <w:p>
      <w:pPr>
        <w:pStyle w:val="Heading1"/>
        <w:bidi w:val="1"/>
        <w:ind w:firstLine="0"/>
        <w:jc w:val="start"/>
      </w:pPr>
      <w:r>
        <w:rPr>
          <w:rFonts w:ascii="Noto Kufi Arabic" w:hAnsi="Noto Kufi Arabic" w:eastAsia="Noto Kufi Arabic" w:cs="Noto Kufi Arabic"/>
          <w:b/>
          <w:color w:val="000000"/>
          <w:sz w:val="32"/>
          <w:i w:val="0"/>
          <w:iCs w:val="0"/>
          <w:szCs w:val="32"/>
          <w:lang w:val="fa-IR" w:bidi="fa-IR"/>
          <w:rtl w:val="1"/>
          <w:b w:val="1"/>
          <w:bCs w:val="1"/>
        </w:rPr>
        <w:t>آزادی باور و دولت سکولار</w:t>
      </w:r>
    </w:p>
    <w:p>
      <w:pPr>
        <w:bidi w:val="1"/>
        <w:ind w:firstLine="340"/>
        <w:jc w:val="start"/>
      </w:pPr>
      <w:r>
        <w:rPr>
          <w:rFonts w:ascii="Noto Naskh Arabic" w:hAnsi="Noto Naskh Arabic" w:eastAsia="Noto Naskh Arabic" w:cs="Noto Naskh Arabic"/>
          <w:b w:val="0"/>
          <w:color w:val="000000"/>
          <w:sz w:val="26"/>
          <w:i w:val="0"/>
          <w:iCs w:val="0"/>
          <w:szCs w:val="26"/>
          <w:lang w:val="fa-IR" w:bidi="fa-IR"/>
          <w:rtl w:val="1"/>
        </w:rPr>
        <w:t>جوامع دینی بخشی از ایران‌اند و حق دارند باور، آیین و تشکل خود را داشته باشند. در پیمان ملی مورد نظر من، هماهنگی فعالیت مذهبی با کلیت ایران یعنی احترام به حقوق برابر و قوانین عمومی؛ این هماهنگی به معنای کنترل وجدان مردم توسط رهبر سیاسی نیست. هیچ دین یا بی‌دینی نباید شرط برخورداری از حقوق شهروندی باشد.</w:t>
      </w:r>
    </w:p>
    <w:p>
      <w:pPr>
        <w:bidi w:val="1"/>
        <w:ind w:firstLine="340"/>
        <w:jc w:val="start"/>
      </w:pPr>
      <w:r>
        <w:rPr>
          <w:rFonts w:ascii="Noto Naskh Arabic" w:hAnsi="Noto Naskh Arabic" w:eastAsia="Noto Naskh Arabic" w:cs="Noto Naskh Arabic"/>
          <w:b w:val="0"/>
          <w:color w:val="000000"/>
          <w:sz w:val="26"/>
          <w:i w:val="0"/>
          <w:iCs w:val="0"/>
          <w:szCs w:val="26"/>
          <w:lang w:val="fa-IR" w:bidi="fa-IR"/>
          <w:rtl w:val="1"/>
        </w:rPr>
        <w:t>مادهٔ ۱۸ اعلامیهٔ جهانی حقوق بشر، آزادی اندیشه، وجدان و دین، از جمله حق تغییر باور، را به رسمیت می‌شناسد. [۱] سکولاریسم باید امکان زندگی امن برای مؤمن و نامؤمن را فراهم کند. سازمان مذهبی می‌تواند در جامعهٔ مدنی فعالیت کند، اما نمی‌تواند به نام تقدس از پاسخ‌گویی مالی و قانونی معاف شود یا حقوق دیگران را محدود کند.</w:t>
      </w:r>
    </w:p>
    <w:p>
      <w:pPr>
        <w:bidi w:val="1"/>
        <w:ind w:firstLine="340"/>
        <w:jc w:val="start"/>
      </w:pPr>
      <w:r>
        <w:rPr>
          <w:rFonts w:ascii="Noto Naskh Arabic" w:hAnsi="Noto Naskh Arabic" w:eastAsia="Noto Naskh Arabic" w:cs="Noto Naskh Arabic"/>
          <w:b w:val="0"/>
          <w:color w:val="000000"/>
          <w:sz w:val="26"/>
          <w:i w:val="0"/>
          <w:iCs w:val="0"/>
          <w:szCs w:val="26"/>
          <w:lang w:val="fa-IR" w:bidi="fa-IR"/>
          <w:rtl w:val="1"/>
        </w:rPr>
        <w:t>مبارزهٔ من با اسلام سیاسی، نقد ساختاری است که قدرت حکومتی را با اقتدار مذهبی درهم می‌آمیزد. پایان‌دادن به سرکوب و جرایم منتسب به این ساختار باید از راه مستندسازی، تعیین مسئولیت فردی و دادرسی منصفانه پیگیری شود. نسبت‌دادن گناه به همهٔ مسلمانان یا پیروان یک مذهب با اصول جنبش حقوق‌محور سازگار نیست.</w:t>
      </w:r>
    </w:p>
    <w:p>
      <w:pPr>
        <w:pStyle w:val="Heading1"/>
        <w:bidi w:val="1"/>
        <w:ind w:firstLine="0"/>
        <w:jc w:val="start"/>
      </w:pPr>
      <w:r>
        <w:rPr>
          <w:rFonts w:ascii="Noto Kufi Arabic" w:hAnsi="Noto Kufi Arabic" w:eastAsia="Noto Kufi Arabic" w:cs="Noto Kufi Arabic"/>
          <w:b/>
          <w:color w:val="000000"/>
          <w:sz w:val="32"/>
          <w:i w:val="0"/>
          <w:iCs w:val="0"/>
          <w:szCs w:val="32"/>
          <w:lang w:val="fa-IR" w:bidi="fa-IR"/>
          <w:rtl w:val="1"/>
          <w:b w:val="1"/>
          <w:bCs w:val="1"/>
        </w:rPr>
        <w:t>عبور از امتیاز سیاسی به شهروندی برابر</w:t>
      </w:r>
    </w:p>
    <w:p>
      <w:pPr>
        <w:bidi w:val="1"/>
        <w:ind w:firstLine="340"/>
        <w:jc w:val="start"/>
      </w:pPr>
      <w:r>
        <w:rPr>
          <w:rFonts w:ascii="Noto Naskh Arabic" w:hAnsi="Noto Naskh Arabic" w:eastAsia="Noto Naskh Arabic" w:cs="Noto Naskh Arabic"/>
          <w:b w:val="0"/>
          <w:color w:val="000000"/>
          <w:sz w:val="26"/>
          <w:i w:val="0"/>
          <w:iCs w:val="0"/>
          <w:szCs w:val="26"/>
          <w:lang w:val="fa-IR" w:bidi="fa-IR"/>
          <w:rtl w:val="1"/>
        </w:rPr>
        <w:t>نقد من به جمهوری اسلامی، متوجه ساختاری است که حقوق عمومی را با معیارهای دینی و اقتدار متمرکز پیوند می‌دهد. در قانون اساسی، اصل ۴ قوانین را تابع موازین اسلامی می‌کند؛ اصل ۲۰ برخورداری از حقوق را با رعایت این موازین بیان می‌کند؛ اصول ۹۱ و ۹۹ به ترکیب و نظارت شورای نگهبان می‌پردازند و اصول ۱۰۷ و ۱۱۰ جایگاه و اختیارات رهبری را تعیین می‌کنند. اینها اجزای حقوقی مشخصی‌اند که باید در بحث دربارهٔ برابری و پاسخ‌گویی بررسی شوند. [۶]</w:t>
      </w:r>
    </w:p>
    <w:p>
      <w:pPr>
        <w:bidi w:val="1"/>
        <w:ind w:firstLine="340"/>
        <w:jc w:val="start"/>
      </w:pPr>
      <w:r>
        <w:rPr>
          <w:rFonts w:ascii="Noto Naskh Arabic" w:hAnsi="Noto Naskh Arabic" w:eastAsia="Noto Naskh Arabic" w:cs="Noto Naskh Arabic"/>
          <w:b w:val="0"/>
          <w:color w:val="000000"/>
          <w:sz w:val="26"/>
          <w:i w:val="0"/>
          <w:iCs w:val="0"/>
          <w:szCs w:val="26"/>
          <w:lang w:val="fa-IR" w:bidi="fa-IR"/>
          <w:rtl w:val="1"/>
        </w:rPr>
        <w:t>برداشت تحلیلی من این است که تمرکز اختیار و محدودشدن امکان رقابت، زمینهٔ امتیازدهی سیاسی و نظارت ناکافی را تقویت می‌کند. این استدلال به معنای فاسد دانستن تک‌تک افراد جامعه نیست. مسئله، قواعدی است که دستیابی به فرصت را به نزدیکی با قدرت گره می‌زند. تغییر نام حکومت، بدون تغییر این قواعد، برای رفع رانت کافی نخواهد بود.</w:t>
      </w:r>
    </w:p>
    <w:p>
      <w:pPr>
        <w:bidi w:val="1"/>
        <w:ind w:firstLine="340"/>
        <w:jc w:val="start"/>
      </w:pPr>
      <w:r>
        <w:rPr>
          <w:rFonts w:ascii="Noto Naskh Arabic" w:hAnsi="Noto Naskh Arabic" w:eastAsia="Noto Naskh Arabic" w:cs="Noto Naskh Arabic"/>
          <w:b w:val="0"/>
          <w:color w:val="000000"/>
          <w:sz w:val="26"/>
          <w:i w:val="0"/>
          <w:iCs w:val="0"/>
          <w:szCs w:val="26"/>
          <w:lang w:val="fa-IR" w:bidi="fa-IR"/>
          <w:rtl w:val="1"/>
        </w:rPr>
        <w:t xml:space="preserve">برای مقابله با فساد، باید از امروز شیوهٔ دیگری را تمرین کنیم. مناقصهٔ رقابتی، اعلام تعارض منافع، حسابرسی مستقل، دسترسی به اطلاعات و حمایت از گزارشگران تخلف، پیشنهادهای من برای نظام آینده‌اند. در توضیح رسمی </w:t>
      </w:r>
      <w:r>
        <w:rPr>
          <w:rFonts w:ascii="Liberation Serif" w:hAnsi="Liberation Serif" w:eastAsia="Liberation Serif" w:cs="Liberation Serif"/>
          <w:b w:val="0"/>
          <w:color w:val="000000"/>
          <w:sz w:val="24"/>
          <w:i w:val="0"/>
          <w:iCs w:val="0"/>
          <w:szCs w:val="24"/>
          <w:lang w:val="en-GB" w:bidi="fa-IR"/>
          <w:rtl w:val="0"/>
        </w:rPr>
        <w:t xml:space="preserve">UNODC </w:t>
      </w:r>
      <w:r>
        <w:rPr>
          <w:rFonts w:ascii="Noto Naskh Arabic" w:hAnsi="Noto Naskh Arabic" w:eastAsia="Noto Naskh Arabic" w:cs="Noto Naskh Arabic"/>
          <w:b w:val="0"/>
          <w:color w:val="000000"/>
          <w:sz w:val="26"/>
          <w:i w:val="0"/>
          <w:iCs w:val="0"/>
          <w:szCs w:val="26"/>
          <w:lang w:val="fa-IR" w:bidi="fa-IR"/>
          <w:rtl w:val="1"/>
        </w:rPr>
        <w:t>دربارهٔ مادهٔ ۹ کنوانسیون مبارزه با فساد نیز شفافیت، رقابت و معیارهای عینی در خرید عمومی و پاسخ‌گویی مالی برجسته شده‌اند. [۷]</w:t>
      </w:r>
    </w:p>
    <w:p>
      <w:pPr>
        <w:pStyle w:val="Heading1"/>
        <w:bidi w:val="1"/>
        <w:ind w:firstLine="0"/>
        <w:jc w:val="start"/>
      </w:pPr>
      <w:r>
        <w:rPr>
          <w:rFonts w:ascii="Noto Kufi Arabic" w:hAnsi="Noto Kufi Arabic" w:eastAsia="Noto Kufi Arabic" w:cs="Noto Kufi Arabic"/>
          <w:b/>
          <w:color w:val="000000"/>
          <w:sz w:val="32"/>
          <w:i w:val="0"/>
          <w:iCs w:val="0"/>
          <w:szCs w:val="32"/>
          <w:lang w:val="fa-IR" w:bidi="fa-IR"/>
          <w:rtl w:val="1"/>
          <w:b w:val="1"/>
          <w:bCs w:val="1"/>
        </w:rPr>
        <w:t>شفافیت مالی پادشاهی مشروطه</w:t>
      </w:r>
    </w:p>
    <w:p>
      <w:pPr>
        <w:bidi w:val="1"/>
        <w:ind w:firstLine="340"/>
        <w:jc w:val="start"/>
      </w:pPr>
      <w:r>
        <w:rPr>
          <w:rFonts w:ascii="Noto Naskh Arabic" w:hAnsi="Noto Naskh Arabic" w:eastAsia="Noto Naskh Arabic" w:cs="Noto Naskh Arabic"/>
          <w:b w:val="0"/>
          <w:color w:val="000000"/>
          <w:sz w:val="26"/>
          <w:i w:val="0"/>
          <w:iCs w:val="0"/>
          <w:szCs w:val="26"/>
          <w:lang w:val="fa-IR" w:bidi="fa-IR"/>
          <w:rtl w:val="1"/>
        </w:rPr>
        <w:t>اگر مردم ایران پادشاهی مشروطه را انتخاب کنند، تأمین هزینه‌های وظایف عمومی نهاد سلطنت باید بر پایهٔ قانون و بودجهٔ مصوب باشد. هر ریالی که از منابع عمومی پرداخت می‌شود باید موضوع ثبت، حسابرسی و گزارش باشد. هزینه‌های خصوصی خانوادهٔ سلطنتی را نیز باید از هزینهٔ وظایف عمومی جدا کرد؛ نمی‌توان از اکنون همهٔ مخارج یک خانواده را تعهد مالی دولت دانست.</w:t>
      </w:r>
    </w:p>
    <w:p>
      <w:pPr>
        <w:bidi w:val="1"/>
        <w:ind w:firstLine="340"/>
        <w:jc w:val="start"/>
      </w:pPr>
      <w:r>
        <w:rPr>
          <w:rFonts w:ascii="Noto Naskh Arabic" w:hAnsi="Noto Naskh Arabic" w:eastAsia="Noto Naskh Arabic" w:cs="Noto Naskh Arabic"/>
          <w:b w:val="0"/>
          <w:color w:val="000000"/>
          <w:sz w:val="26"/>
          <w:i w:val="0"/>
          <w:iCs w:val="0"/>
          <w:szCs w:val="26"/>
          <w:lang w:val="fa-IR" w:bidi="fa-IR"/>
          <w:rtl w:val="1"/>
        </w:rPr>
        <w:t xml:space="preserve">پیشنهاد من، تعیین سقف بودجه، انتشار صورت‌های مالی قابل فهم، نظارت پارلمان و حسابرسی مستقل است. هدایا، تعارض منافع و ارتباط اقتصادی با پیمانکاران نیز باید تابع قواعد روشن باشند. در بریتانیا گزارش سالانهٔ </w:t>
      </w:r>
      <w:r>
        <w:rPr>
          <w:rFonts w:ascii="Liberation Serif" w:hAnsi="Liberation Serif" w:eastAsia="Liberation Serif" w:cs="Liberation Serif"/>
          <w:b w:val="0"/>
          <w:color w:val="000000"/>
          <w:sz w:val="24"/>
          <w:i w:val="0"/>
          <w:iCs w:val="0"/>
          <w:szCs w:val="24"/>
          <w:lang w:val="en-GB" w:bidi="fa-IR"/>
          <w:rtl w:val="0"/>
        </w:rPr>
        <w:t xml:space="preserve">Sovereign Grant </w:t>
      </w:r>
      <w:r>
        <w:rPr>
          <w:rFonts w:ascii="Noto Naskh Arabic" w:hAnsi="Noto Naskh Arabic" w:eastAsia="Noto Naskh Arabic" w:cs="Noto Naskh Arabic"/>
          <w:b w:val="0"/>
          <w:color w:val="000000"/>
          <w:sz w:val="26"/>
          <w:i w:val="0"/>
          <w:iCs w:val="0"/>
          <w:szCs w:val="26"/>
          <w:lang w:val="fa-IR" w:bidi="fa-IR"/>
          <w:rtl w:val="1"/>
        </w:rPr>
        <w:t>برای بودجهٔ وظایف رسمی خاندان سلطنتی و نگهداری کاخ‌های مورد استفاده منتشر می‌شود؛ این نمونه نشان می‌دهد که می‌توان نهاد سلطنت را نیز موضوع گزارش‌دهی مالی قرار داد. [۸]</w:t>
      </w:r>
    </w:p>
    <w:p>
      <w:pPr>
        <w:bidi w:val="1"/>
        <w:ind w:firstLine="340"/>
        <w:jc w:val="start"/>
      </w:pPr>
      <w:r>
        <w:rPr>
          <w:rFonts w:ascii="Noto Naskh Arabic" w:hAnsi="Noto Naskh Arabic" w:eastAsia="Noto Naskh Arabic" w:cs="Noto Naskh Arabic"/>
          <w:b w:val="0"/>
          <w:color w:val="000000"/>
          <w:sz w:val="26"/>
          <w:i w:val="0"/>
          <w:iCs w:val="0"/>
          <w:szCs w:val="26"/>
          <w:lang w:val="fa-IR" w:bidi="fa-IR"/>
          <w:rtl w:val="1"/>
        </w:rPr>
        <w:t>الگوی ایران باید در قانون اساسی و قوانین مالی خودش تعریف شود. تعلق خاطر به خاندان پهلوی، از مسئولیت توضیح‌دادن دربارهٔ پول عمومی کم نمی‌کند. اعتماد زمانی دوام می‌آورد که مردم بتوانند هزینه‌ها را بررسی کنند و برای اصلاح آنها نمایندگان خود را به پرسش بکشند.</w:t>
      </w:r>
    </w:p>
    <w:p>
      <w:pPr>
        <w:pStyle w:val="Heading1"/>
        <w:bidi w:val="1"/>
        <w:ind w:firstLine="0"/>
        <w:jc w:val="start"/>
      </w:pPr>
      <w:r>
        <w:rPr>
          <w:rFonts w:ascii="Noto Kufi Arabic" w:hAnsi="Noto Kufi Arabic" w:eastAsia="Noto Kufi Arabic" w:cs="Noto Kufi Arabic"/>
          <w:b/>
          <w:color w:val="000000"/>
          <w:sz w:val="32"/>
          <w:i w:val="0"/>
          <w:iCs w:val="0"/>
          <w:szCs w:val="32"/>
          <w:lang w:val="fa-IR" w:bidi="fa-IR"/>
          <w:rtl w:val="1"/>
          <w:b w:val="1"/>
          <w:bCs w:val="1"/>
        </w:rPr>
        <w:t>سامانهٔ مشارکت شهروندی و حدود رأی‌گیری دیجیتال</w:t>
      </w:r>
    </w:p>
    <w:p>
      <w:pPr>
        <w:bidi w:val="1"/>
        <w:ind w:firstLine="340"/>
        <w:jc w:val="start"/>
      </w:pPr>
      <w:r>
        <w:rPr>
          <w:rFonts w:ascii="Noto Naskh Arabic" w:hAnsi="Noto Naskh Arabic" w:eastAsia="Noto Naskh Arabic" w:cs="Noto Naskh Arabic"/>
          <w:b w:val="0"/>
          <w:color w:val="000000"/>
          <w:sz w:val="26"/>
          <w:i w:val="0"/>
          <w:iCs w:val="0"/>
          <w:szCs w:val="26"/>
          <w:lang w:val="fa-IR" w:bidi="fa-IR"/>
          <w:rtl w:val="1"/>
        </w:rPr>
        <w:t>اپلیکیشن شهروندی می‌تواند یکی از ابزارهای ارتباط مستمر مردم و حکومت باشد. من چنین سامانه‌ای را برای انتشار بودجه، توضیح گزینه‌های سیاستی، دریافت پیشنهاد و پیگیری پاسخ نهادها تصور می‌کنم. شهروند باید ببیند نظرش چگونه بررسی شده و تصمیم نهایی با چه دلایلی گرفته شده است. مشارکت زمانی معنا دارد که راهی برای اثرگذاری واقعی فراهم کند.</w:t>
      </w:r>
    </w:p>
    <w:p>
      <w:pPr>
        <w:bidi w:val="1"/>
        <w:ind w:firstLine="340"/>
        <w:jc w:val="start"/>
      </w:pPr>
      <w:r>
        <w:rPr>
          <w:rFonts w:ascii="Noto Naskh Arabic" w:hAnsi="Noto Naskh Arabic" w:eastAsia="Noto Naskh Arabic" w:cs="Noto Naskh Arabic"/>
          <w:b w:val="0"/>
          <w:color w:val="000000"/>
          <w:sz w:val="26"/>
          <w:i w:val="0"/>
          <w:iCs w:val="0"/>
          <w:szCs w:val="26"/>
          <w:lang w:val="fa-IR" w:bidi="fa-IR"/>
          <w:rtl w:val="1"/>
        </w:rPr>
        <w:t xml:space="preserve">باید میان نظرسنجی باز، مشورت عمومی و رأی‌گیری الزام‌آور تفاوت گذاشت. کاربران داوطلب یک اپلیکیشن، نمونهٔ آماری نمایندهٔ همهٔ مردم نیستند و رأی آنها را نمی‌توان خودکار به کل جامعه تعمیم داد. راهنمای </w:t>
      </w:r>
      <w:r>
        <w:rPr>
          <w:rFonts w:ascii="Liberation Serif" w:hAnsi="Liberation Serif" w:eastAsia="Liberation Serif" w:cs="Liberation Serif"/>
          <w:b w:val="0"/>
          <w:color w:val="000000"/>
          <w:sz w:val="24"/>
          <w:i w:val="0"/>
          <w:iCs w:val="0"/>
          <w:szCs w:val="24"/>
          <w:lang w:val="en-GB" w:bidi="fa-IR"/>
          <w:rtl w:val="0"/>
        </w:rPr>
        <w:t xml:space="preserve">OECD </w:t>
      </w:r>
      <w:r>
        <w:rPr>
          <w:rFonts w:ascii="Noto Naskh Arabic" w:hAnsi="Noto Naskh Arabic" w:eastAsia="Noto Naskh Arabic" w:cs="Noto Naskh Arabic"/>
          <w:b w:val="0"/>
          <w:color w:val="000000"/>
          <w:sz w:val="26"/>
          <w:i w:val="0"/>
          <w:iCs w:val="0"/>
          <w:szCs w:val="26"/>
          <w:lang w:val="fa-IR" w:bidi="fa-IR"/>
          <w:rtl w:val="1"/>
        </w:rPr>
        <w:t>بر انتخاب روش متناسب، شمول اجتماعی و استفاده از راه‌های حضوری در کنار ابزار دیجیتال تأکید می‌کند. [۹] برای افراد فاقد اینترنت یا مهارت دیجیتال نیز باید امکان مشارکت فراهم باشد.</w:t>
      </w:r>
    </w:p>
    <w:p>
      <w:pPr>
        <w:bidi w:val="1"/>
        <w:ind w:firstLine="340"/>
        <w:jc w:val="start"/>
      </w:pPr>
      <w:r>
        <w:rPr>
          <w:rFonts w:ascii="Noto Naskh Arabic" w:hAnsi="Noto Naskh Arabic" w:eastAsia="Noto Naskh Arabic" w:cs="Noto Naskh Arabic"/>
          <w:b w:val="0"/>
          <w:color w:val="000000"/>
          <w:sz w:val="26"/>
          <w:i w:val="0"/>
          <w:iCs w:val="0"/>
          <w:szCs w:val="26"/>
          <w:lang w:val="fa-IR" w:bidi="fa-IR"/>
          <w:rtl w:val="1"/>
        </w:rPr>
        <w:t>رأی‌گیری الزام‌آور، قانون و تضمین‌های سخت‌گیرانه‌تری می‌خواهد. توصیهٔ شورای اروپا دربارهٔ رأی‌گیری الکترونیکی بر اصول انتخابات دموکراتیک، محرمانگی رأی، امنیت، قابلیت بررسی مستقل و اجرای تدریجی تأکید می‌کند. [۱۰] پیشنهاد من این است که هر سامانه ابتدا در کاربردهای مشورتی آزموده شود و استفادهٔ انتخاباتی آن فقط پس از ارزیابی مستقل و تصویب قواعد روشن صورت گیرد.</w:t>
      </w:r>
    </w:p>
    <w:p>
      <w:pPr>
        <w:bidi w:val="1"/>
        <w:ind w:firstLine="340"/>
        <w:jc w:val="start"/>
      </w:pPr>
      <w:r>
        <w:rPr>
          <w:rFonts w:ascii="Noto Naskh Arabic" w:hAnsi="Noto Naskh Arabic" w:eastAsia="Noto Naskh Arabic" w:cs="Noto Naskh Arabic"/>
          <w:b w:val="0"/>
          <w:color w:val="000000"/>
          <w:sz w:val="26"/>
          <w:i w:val="0"/>
          <w:iCs w:val="0"/>
          <w:szCs w:val="26"/>
          <w:lang w:val="fa-IR" w:bidi="fa-IR"/>
          <w:rtl w:val="1"/>
        </w:rPr>
        <w:t>آرزوی من آن است که ایران در کیفیت مشارکت عمومی از تجربه‌های موجود فراتر رود. این آرزو با شمار رأی‌گیری‌ها محقق نمی‌شود؛ باید برابری دسترسی، اثر مشارکت و اعتماد قابل سنجش بهبود یابد. هیچ نظامی خدشه‌ناپذیر نیست. نظامی که بتواند خطای خود را آشکار و اصلاح کند، امکان بیشتری برای دوام و همراهی مردم خواهد داشت.</w:t>
      </w:r>
    </w:p>
    <w:p>
      <w:pPr>
        <w:pStyle w:val="Heading1"/>
        <w:bidi w:val="1"/>
        <w:ind w:firstLine="0"/>
        <w:jc w:val="start"/>
      </w:pPr>
      <w:r>
        <w:rPr>
          <w:rFonts w:ascii="Noto Kufi Arabic" w:hAnsi="Noto Kufi Arabic" w:eastAsia="Noto Kufi Arabic" w:cs="Noto Kufi Arabic"/>
          <w:b/>
          <w:color w:val="000000"/>
          <w:sz w:val="32"/>
          <w:i w:val="0"/>
          <w:iCs w:val="0"/>
          <w:szCs w:val="32"/>
          <w:lang w:val="fa-IR" w:bidi="fa-IR"/>
          <w:rtl w:val="1"/>
          <w:b w:val="1"/>
          <w:bCs w:val="1"/>
        </w:rPr>
        <w:t>ساعت صفر و مسئولیت حفظ زندگی مردم</w:t>
      </w:r>
    </w:p>
    <w:p>
      <w:pPr>
        <w:bidi w:val="1"/>
        <w:ind w:firstLine="340"/>
        <w:jc w:val="start"/>
      </w:pPr>
      <w:r>
        <w:rPr>
          <w:rFonts w:ascii="Noto Naskh Arabic" w:hAnsi="Noto Naskh Arabic" w:eastAsia="Noto Naskh Arabic" w:cs="Noto Naskh Arabic"/>
          <w:b w:val="0"/>
          <w:color w:val="000000"/>
          <w:sz w:val="26"/>
          <w:i w:val="0"/>
          <w:iCs w:val="0"/>
          <w:szCs w:val="26"/>
          <w:lang w:val="fa-IR" w:bidi="fa-IR"/>
          <w:rtl w:val="1"/>
        </w:rPr>
        <w:t>وقتی از تنظیم ساعت‌ها در ساعت صفر سخن می‌گویم، مقصودم توافق بر قواعد مشترک در آغاز گذار است. باید بدانیم اختیار موقت چگونه واگذار می‌شود، مدت آن چقدر است و چه نهادی بر آن نظارت می‌کند. فرصت بازسازی نباید به مجوز قدرت نامحدود تبدیل شود. ادارهٔ دورهٔ گذار باید مسیر رسیدن به تصمیم آزاد مردم را روشن نگه دارد.</w:t>
      </w:r>
    </w:p>
    <w:p>
      <w:pPr>
        <w:bidi w:val="1"/>
        <w:ind w:firstLine="340"/>
        <w:jc w:val="start"/>
      </w:pPr>
      <w:r>
        <w:rPr>
          <w:rFonts w:ascii="Noto Naskh Arabic" w:hAnsi="Noto Naskh Arabic" w:eastAsia="Noto Naskh Arabic" w:cs="Noto Naskh Arabic"/>
          <w:b w:val="0"/>
          <w:color w:val="000000"/>
          <w:sz w:val="26"/>
          <w:i w:val="0"/>
          <w:iCs w:val="0"/>
          <w:szCs w:val="26"/>
          <w:lang w:val="fa-IR" w:bidi="fa-IR"/>
          <w:rtl w:val="1"/>
        </w:rPr>
        <w:t>صفحهٔ رسمی پروژهٔ شکوفایی ایران، با معرفی نسخهٔ مارس ۲۰۲۶، برنامهٔ مرحلهٔ اضطراری برای ۱۸۰ روز نخست و حق مردم برای انتخاب نوع حکومت را توضیح می‌دهد. [۱۱] من این برنامه‌ریزی را موضوعی برای بررسی کارشناسی و بحث عمومی می‌دانم. پیشنهادهای این مقاله دربارهٔ مشارکت و شفافیت، دیدگاه من‌اند و جایگزین متن آن پروژه یا ارادهٔ مردم نیستند.</w:t>
      </w:r>
    </w:p>
    <w:p>
      <w:pPr>
        <w:bidi w:val="1"/>
        <w:ind w:firstLine="340"/>
        <w:jc w:val="start"/>
      </w:pPr>
      <w:r>
        <w:rPr>
          <w:rFonts w:ascii="Noto Naskh Arabic" w:hAnsi="Noto Naskh Arabic" w:eastAsia="Noto Naskh Arabic" w:cs="Noto Naskh Arabic"/>
          <w:b w:val="0"/>
          <w:color w:val="000000"/>
          <w:sz w:val="26"/>
          <w:i w:val="0"/>
          <w:iCs w:val="0"/>
          <w:szCs w:val="26"/>
          <w:lang w:val="fa-IR" w:bidi="fa-IR"/>
          <w:rtl w:val="1"/>
        </w:rPr>
        <w:t>تنظیم دوبارهٔ ساعت سیاسی، به معنای متوقف‌کردن زندگی روزمره نیست. آب، برق، درمان، مدرسه و امنیت عمومی باید حفظ شوند. کارکنان حرفه‌ای باید بتوانند خدمات ضروری را ادامه دهند و رسیدگی به مسئولیت‌های قانونی افراد نیز از مسیر مشخص انجام شود. معماری ایران نوین، از توان حفظ زندگی مردم در روزهای دشوار آغاز می‌شود.</w:t>
      </w:r>
    </w:p>
    <w:p>
      <w:pPr>
        <w:pStyle w:val="Heading1"/>
        <w:bidi w:val="1"/>
        <w:ind w:firstLine="0"/>
        <w:jc w:val="start"/>
      </w:pPr>
      <w:r>
        <w:rPr>
          <w:rFonts w:ascii="Noto Kufi Arabic" w:hAnsi="Noto Kufi Arabic" w:eastAsia="Noto Kufi Arabic" w:cs="Noto Kufi Arabic"/>
          <w:b/>
          <w:color w:val="000000"/>
          <w:sz w:val="32"/>
          <w:i w:val="0"/>
          <w:iCs w:val="0"/>
          <w:szCs w:val="32"/>
          <w:lang w:val="fa-IR" w:bidi="fa-IR"/>
          <w:rtl w:val="1"/>
          <w:b w:val="1"/>
          <w:bCs w:val="1"/>
        </w:rPr>
        <w:t>وفاداری و سنجش کارنامهٔ عملی</w:t>
      </w:r>
    </w:p>
    <w:p>
      <w:pPr>
        <w:bidi w:val="1"/>
        <w:ind w:firstLine="340"/>
        <w:jc w:val="start"/>
      </w:pPr>
      <w:r>
        <w:rPr>
          <w:rFonts w:ascii="Noto Naskh Arabic" w:hAnsi="Noto Naskh Arabic" w:eastAsia="Noto Naskh Arabic" w:cs="Noto Naskh Arabic"/>
          <w:b w:val="0"/>
          <w:color w:val="000000"/>
          <w:sz w:val="26"/>
          <w:i w:val="0"/>
          <w:iCs w:val="0"/>
          <w:szCs w:val="26"/>
          <w:lang w:val="fa-IR" w:bidi="fa-IR"/>
          <w:rtl w:val="1"/>
        </w:rPr>
        <w:t>برای من، شعار «جاوید شاه» بیان وفاداری، عشق و امید به یک پادشاهی مشروطهٔ پاسخ‌گوست. این وفاداری باید ظرفیت نقد داشته باشد. اگر برای مبارزه با حکومت فاسد، اخلاق امتیازخواهی و اطاعت بی‌پرسش را در خود بازتولید کنیم، هدفمان را از درون تضعیف کرده‌ایم. نزدیکی به شاهزاده نباید به وعدهٔ شغل، قرارداد یا سهمی از قدرت آینده تبدیل شود.</w:t>
      </w:r>
    </w:p>
    <w:p>
      <w:pPr>
        <w:bidi w:val="1"/>
        <w:ind w:firstLine="340"/>
        <w:jc w:val="start"/>
      </w:pPr>
      <w:r>
        <w:rPr>
          <w:rFonts w:ascii="Noto Naskh Arabic" w:hAnsi="Noto Naskh Arabic" w:eastAsia="Noto Naskh Arabic" w:cs="Noto Naskh Arabic"/>
          <w:b w:val="0"/>
          <w:color w:val="000000"/>
          <w:sz w:val="26"/>
          <w:i w:val="0"/>
          <w:iCs w:val="0"/>
          <w:szCs w:val="26"/>
          <w:lang w:val="fa-IR" w:bidi="fa-IR"/>
          <w:rtl w:val="1"/>
        </w:rPr>
        <w:t>هر کس که به جنبش ملی می‌پیوندد می‌تواند متناسب با توان و شرایط خود، بخشی از کار را بر عهده بگیرد. وقتی دوباره یکدیگر را می‌بینیم، پرسش اصلی باید این باشد که در این فاصله چه کرده‌ایم: چه نوشته‌ای منتشر شده، چه آموزشی ارائه شده، چه منابعی با حساب روشن گرد آمده و چه رابطهٔ سیاسی یا رسانه‌ای به نتیجه رسیده است؟ معرفی شاهزاده رضا پهلوی و جنبش شیر و خورشید به افکار عمومی اروپا و آمریکا نیز باید با پیام روشن، احترام و اطلاعات درست همراه باشد.</w:t>
      </w:r>
    </w:p>
    <w:p>
      <w:pPr>
        <w:bidi w:val="1"/>
        <w:ind w:firstLine="340"/>
        <w:jc w:val="start"/>
      </w:pPr>
      <w:r>
        <w:rPr>
          <w:rFonts w:ascii="Noto Naskh Arabic" w:hAnsi="Noto Naskh Arabic" w:eastAsia="Noto Naskh Arabic" w:cs="Noto Naskh Arabic"/>
          <w:b w:val="0"/>
          <w:color w:val="000000"/>
          <w:sz w:val="26"/>
          <w:i w:val="0"/>
          <w:iCs w:val="0"/>
          <w:szCs w:val="26"/>
          <w:lang w:val="fa-IR" w:bidi="fa-IR"/>
          <w:rtl w:val="1"/>
        </w:rPr>
        <w:t>کارنامه باید قابل بررسی باشد. تعداد مقاله‌ها بدون توجه به کیفیت، یا شمار ملاقات‌ها بدون نتیجهٔ مشخص، معیار کافی نیست. جمع‌آوری پول با نحوهٔ مصرف و اسناد آن سنجیده می‌شود؛ فعالیت رسانه‌ای با دقت پیام و مخاطبی که به آن رسیده است. شکست یک برنامه را نیز باید صادقانه توضیح داد تا تجربهٔ آن برای دیگران قابل استفاده باشد.</w:t>
      </w:r>
    </w:p>
    <w:p>
      <w:pPr>
        <w:bidi w:val="1"/>
        <w:ind w:firstLine="340"/>
        <w:jc w:val="start"/>
      </w:pPr>
      <w:r>
        <w:rPr>
          <w:rFonts w:ascii="Noto Naskh Arabic" w:hAnsi="Noto Naskh Arabic" w:eastAsia="Noto Naskh Arabic" w:cs="Noto Naskh Arabic"/>
          <w:b w:val="0"/>
          <w:color w:val="000000"/>
          <w:sz w:val="26"/>
          <w:i w:val="0"/>
          <w:iCs w:val="0"/>
          <w:szCs w:val="26"/>
          <w:lang w:val="fa-IR" w:bidi="fa-IR"/>
          <w:rtl w:val="1"/>
        </w:rPr>
        <w:t>کرامت انسان را نباید به رزومهٔ سیاسی او تقلیل داد. کسی که به دلیل بیماری، مسئولیت خانوادگی یا خطر امنیتی امکان فعالیت آشکار ندارد، شهروندی کم‌ارزش‌تر نیست. کارنامهٔ مرتبط، صلاحیت و درستکاری، معیار واگذاری مسئولیت در جنبش و حکومت آینده‌اند؛ حقوق شهروندی همگان مستقل از میزان فعالیتشان باقی می‌ماند.</w:t>
      </w:r>
    </w:p>
    <w:p>
      <w:pPr>
        <w:pStyle w:val="Heading1"/>
        <w:bidi w:val="1"/>
        <w:ind w:firstLine="0"/>
        <w:jc w:val="start"/>
      </w:pPr>
      <w:r>
        <w:rPr>
          <w:rFonts w:ascii="Noto Kufi Arabic" w:hAnsi="Noto Kufi Arabic" w:eastAsia="Noto Kufi Arabic" w:cs="Noto Kufi Arabic"/>
          <w:b/>
          <w:color w:val="000000"/>
          <w:sz w:val="32"/>
          <w:i w:val="0"/>
          <w:iCs w:val="0"/>
          <w:szCs w:val="32"/>
          <w:lang w:val="fa-IR" w:bidi="fa-IR"/>
          <w:rtl w:val="1"/>
          <w:b w:val="1"/>
          <w:bCs w:val="1"/>
        </w:rPr>
        <w:t>نمونهٔ ثبت کارنامهٔ مسئولیت‌پذیر</w:t>
      </w:r>
    </w:p>
    <w:p>
      <w:pPr>
        <w:keepNext/>
        <w:bidi w:val="1"/>
        <w:ind w:firstLine="0"/>
        <w:jc w:val="start"/>
      </w:pPr>
      <w:r>
        <w:rPr>
          <w:rFonts w:ascii="Noto Naskh Arabic" w:hAnsi="Noto Naskh Arabic" w:eastAsia="Noto Naskh Arabic" w:cs="Noto Naskh Arabic"/>
          <w:b w:val="0"/>
          <w:color w:val="000000"/>
          <w:sz w:val="23"/>
          <w:i w:val="0"/>
          <w:iCs w:val="0"/>
          <w:szCs w:val="23"/>
          <w:lang w:val="fa-IR" w:bidi="fa-IR"/>
          <w:rtl w:val="1"/>
        </w:rPr>
        <w:t>این چارچوب پیشنهادی برای ارزیابی فعالیت است و رتبه‌بندی ارزش انسانی افراد نیست.</w:t>
      </w:r>
    </w:p>
    <w:tbl>
      <w:tblPr>
        <w:tblW w:type="auto" w:w="0"/>
        <w:jc w:val="center"/>
        <w:tblLayout w:type="fixed"/>
        <w:tblLook w:firstColumn="1" w:firstRow="1" w:lastColumn="0" w:lastRow="0" w:noHBand="0" w:noVBand="1" w:val="04A0"/>
        <w:bidiVisual w:val="1"/>
        <w:tblBorders>
          <w:top w:val="single" w:sz="4" w:color="D9D9D9"/>
          <w:left w:val="single" w:sz="4" w:color="D9D9D9"/>
          <w:bottom w:val="single" w:sz="4" w:color="D9D9D9"/>
          <w:right w:val="single" w:sz="4" w:color="D9D9D9"/>
          <w:insideH w:val="single" w:sz="4" w:color="D9D9D9"/>
          <w:insideV w:val="single" w:sz="4" w:color="D9D9D9"/>
        </w:tblBorders>
        <w:tblCellMar>
          <w:top w:w="95" w:type="dxa"/>
          <w:bottom w:w="95" w:type="dxa"/>
          <w:left w:w="110" w:type="dxa"/>
          <w:right w:w="110" w:type="dxa"/>
        </w:tblCellMar>
      </w:tblPr>
      <w:tblGrid>
        <w:gridCol w:w="2268"/>
        <w:gridCol w:w="3543"/>
        <w:gridCol w:w="4161"/>
      </w:tblGrid>
      <w:tr>
        <w:trPr>
          <w:tblHeader/>
        </w:trPr>
        <w:tc>
          <w:tcPr>
            <w:tcW w:type="dxa" w:w="2268"/>
            <w:vAlign w:val="center"/>
            <w:shd w:fill="E7ECEA" w:val="clear"/>
          </w:tcPr>
          <w:p>
            <w:pPr>
              <w:bidi w:val="1"/>
              <w:spacing w:after="40"/>
              <w:ind w:firstLine="0"/>
              <w:jc w:val="start"/>
            </w:pPr>
            <w:r>
              <w:rPr>
                <w:rFonts w:ascii="Noto Naskh Arabic" w:hAnsi="Noto Naskh Arabic" w:eastAsia="Noto Naskh Arabic" w:cs="Noto Naskh Arabic"/>
                <w:b/>
                <w:color w:val="000000"/>
                <w:sz w:val="23"/>
                <w:i w:val="0"/>
                <w:iCs w:val="0"/>
                <w:szCs w:val="23"/>
                <w:lang w:val="fa-IR" w:bidi="fa-IR"/>
                <w:rtl w:val="1"/>
                <w:b w:val="1"/>
                <w:bCs w:val="1"/>
              </w:rPr>
              <w:t>حوزهٔ فعالیت</w:t>
            </w:r>
          </w:p>
        </w:tc>
        <w:tc>
          <w:tcPr>
            <w:tcW w:type="dxa" w:w="3543"/>
            <w:vAlign w:val="center"/>
            <w:shd w:fill="E7ECEA" w:val="clear"/>
          </w:tcPr>
          <w:p>
            <w:pPr>
              <w:bidi w:val="1"/>
              <w:spacing w:after="40"/>
              <w:ind w:firstLine="0"/>
              <w:jc w:val="start"/>
            </w:pPr>
            <w:r>
              <w:rPr>
                <w:rFonts w:ascii="Noto Naskh Arabic" w:hAnsi="Noto Naskh Arabic" w:eastAsia="Noto Naskh Arabic" w:cs="Noto Naskh Arabic"/>
                <w:b/>
                <w:color w:val="000000"/>
                <w:sz w:val="23"/>
                <w:i w:val="0"/>
                <w:iCs w:val="0"/>
                <w:szCs w:val="23"/>
                <w:lang w:val="fa-IR" w:bidi="fa-IR"/>
                <w:rtl w:val="1"/>
                <w:b w:val="1"/>
                <w:bCs w:val="1"/>
              </w:rPr>
              <w:t>خروجی قابل ارائه</w:t>
            </w:r>
          </w:p>
        </w:tc>
        <w:tc>
          <w:tcPr>
            <w:tcW w:type="dxa" w:w="4161"/>
            <w:vAlign w:val="center"/>
            <w:shd w:fill="E7ECEA" w:val="clear"/>
          </w:tcPr>
          <w:p>
            <w:pPr>
              <w:bidi w:val="1"/>
              <w:spacing w:after="40"/>
              <w:ind w:firstLine="0"/>
              <w:jc w:val="start"/>
            </w:pPr>
            <w:r>
              <w:rPr>
                <w:rFonts w:ascii="Noto Naskh Arabic" w:hAnsi="Noto Naskh Arabic" w:eastAsia="Noto Naskh Arabic" w:cs="Noto Naskh Arabic"/>
                <w:b/>
                <w:color w:val="000000"/>
                <w:sz w:val="23"/>
                <w:i w:val="0"/>
                <w:iCs w:val="0"/>
                <w:szCs w:val="23"/>
                <w:lang w:val="fa-IR" w:bidi="fa-IR"/>
                <w:rtl w:val="1"/>
                <w:b w:val="1"/>
                <w:bCs w:val="1"/>
              </w:rPr>
              <w:t>مبنای بررسی</w:t>
            </w:r>
          </w:p>
        </w:tc>
      </w:tr>
      <w:tr>
        <w:trPr>
          <w:cantSplit/>
        </w:trPr>
        <w:tc>
          <w:tcPr>
            <w:tcW w:type="dxa" w:w="2268"/>
            <w:vAlign w:val="center"/>
          </w:tcPr>
          <w:p>
            <w:pPr>
              <w:bidi w:val="1"/>
              <w:spacing w:after="40" w:line="276" w:lineRule="auto"/>
              <w:ind w:firstLine="0"/>
              <w:jc w:val="start"/>
            </w:pPr>
            <w:r>
              <w:rPr>
                <w:rFonts w:ascii="Noto Naskh Arabic" w:hAnsi="Noto Naskh Arabic" w:eastAsia="Noto Naskh Arabic" w:cs="Noto Naskh Arabic"/>
                <w:b w:val="0"/>
                <w:color w:val="000000"/>
                <w:sz w:val="23"/>
                <w:i w:val="0"/>
                <w:iCs w:val="0"/>
                <w:szCs w:val="23"/>
                <w:lang w:val="fa-IR" w:bidi="fa-IR"/>
                <w:rtl w:val="1"/>
              </w:rPr>
              <w:t>پژوهش و آموزش</w:t>
            </w:r>
          </w:p>
        </w:tc>
        <w:tc>
          <w:tcPr>
            <w:tcW w:type="dxa" w:w="3543"/>
            <w:vAlign w:val="center"/>
          </w:tcPr>
          <w:p>
            <w:pPr>
              <w:bidi w:val="1"/>
              <w:spacing w:after="40" w:line="276" w:lineRule="auto"/>
              <w:ind w:firstLine="0"/>
              <w:jc w:val="start"/>
            </w:pPr>
            <w:r>
              <w:rPr>
                <w:rFonts w:ascii="Noto Naskh Arabic" w:hAnsi="Noto Naskh Arabic" w:eastAsia="Noto Naskh Arabic" w:cs="Noto Naskh Arabic"/>
                <w:b w:val="0"/>
                <w:color w:val="000000"/>
                <w:sz w:val="23"/>
                <w:i w:val="0"/>
                <w:iCs w:val="0"/>
                <w:szCs w:val="23"/>
                <w:lang w:val="fa-IR" w:bidi="fa-IR"/>
                <w:rtl w:val="1"/>
              </w:rPr>
              <w:t>مقاله، کتاب یا دورهٔ آموزشی</w:t>
            </w:r>
          </w:p>
        </w:tc>
        <w:tc>
          <w:tcPr>
            <w:tcW w:type="dxa" w:w="4161"/>
            <w:vAlign w:val="center"/>
          </w:tcPr>
          <w:p>
            <w:pPr>
              <w:bidi w:val="1"/>
              <w:spacing w:after="40" w:line="276" w:lineRule="auto"/>
              <w:ind w:firstLine="0"/>
              <w:jc w:val="start"/>
            </w:pPr>
            <w:r>
              <w:rPr>
                <w:rFonts w:ascii="Noto Naskh Arabic" w:hAnsi="Noto Naskh Arabic" w:eastAsia="Noto Naskh Arabic" w:cs="Noto Naskh Arabic"/>
                <w:b w:val="0"/>
                <w:color w:val="000000"/>
                <w:sz w:val="23"/>
                <w:i w:val="0"/>
                <w:iCs w:val="0"/>
                <w:szCs w:val="23"/>
                <w:lang w:val="fa-IR" w:bidi="fa-IR"/>
                <w:rtl w:val="1"/>
              </w:rPr>
              <w:t>کیفیت، منابع و استفادهٔ مخاطب</w:t>
            </w:r>
          </w:p>
        </w:tc>
      </w:tr>
      <w:tr>
        <w:trPr>
          <w:cantSplit/>
        </w:trPr>
        <w:tc>
          <w:tcPr>
            <w:tcW w:type="dxa" w:w="2268"/>
            <w:vAlign w:val="center"/>
            <w:shd w:fill="F6F8F7" w:val="clear"/>
          </w:tcPr>
          <w:p>
            <w:pPr>
              <w:bidi w:val="1"/>
              <w:spacing w:after="40" w:line="276" w:lineRule="auto"/>
              <w:ind w:firstLine="0"/>
              <w:jc w:val="start"/>
            </w:pPr>
            <w:r>
              <w:rPr>
                <w:rFonts w:ascii="Noto Naskh Arabic" w:hAnsi="Noto Naskh Arabic" w:eastAsia="Noto Naskh Arabic" w:cs="Noto Naskh Arabic"/>
                <w:b w:val="0"/>
                <w:color w:val="000000"/>
                <w:sz w:val="23"/>
                <w:i w:val="0"/>
                <w:iCs w:val="0"/>
                <w:szCs w:val="23"/>
                <w:lang w:val="fa-IR" w:bidi="fa-IR"/>
                <w:rtl w:val="1"/>
              </w:rPr>
              <w:t>تأمین منابع</w:t>
            </w:r>
          </w:p>
        </w:tc>
        <w:tc>
          <w:tcPr>
            <w:tcW w:type="dxa" w:w="3543"/>
            <w:vAlign w:val="center"/>
            <w:shd w:fill="F6F8F7" w:val="clear"/>
          </w:tcPr>
          <w:p>
            <w:pPr>
              <w:bidi w:val="1"/>
              <w:spacing w:after="40" w:line="276" w:lineRule="auto"/>
              <w:ind w:firstLine="0"/>
              <w:jc w:val="start"/>
            </w:pPr>
            <w:r>
              <w:rPr>
                <w:rFonts w:ascii="Noto Naskh Arabic" w:hAnsi="Noto Naskh Arabic" w:eastAsia="Noto Naskh Arabic" w:cs="Noto Naskh Arabic"/>
                <w:b w:val="0"/>
                <w:color w:val="000000"/>
                <w:sz w:val="23"/>
                <w:i w:val="0"/>
                <w:iCs w:val="0"/>
                <w:szCs w:val="23"/>
                <w:lang w:val="fa-IR" w:bidi="fa-IR"/>
                <w:rtl w:val="1"/>
              </w:rPr>
              <w:t>گزارش دریافت و مصرف کمک‌ها</w:t>
            </w:r>
          </w:p>
        </w:tc>
        <w:tc>
          <w:tcPr>
            <w:tcW w:type="dxa" w:w="4161"/>
            <w:vAlign w:val="center"/>
            <w:shd w:fill="F6F8F7" w:val="clear"/>
          </w:tcPr>
          <w:p>
            <w:pPr>
              <w:bidi w:val="1"/>
              <w:spacing w:after="40" w:line="276" w:lineRule="auto"/>
              <w:ind w:firstLine="0"/>
              <w:jc w:val="start"/>
            </w:pPr>
            <w:r>
              <w:rPr>
                <w:rFonts w:ascii="Noto Naskh Arabic" w:hAnsi="Noto Naskh Arabic" w:eastAsia="Noto Naskh Arabic" w:cs="Noto Naskh Arabic"/>
                <w:b w:val="0"/>
                <w:color w:val="000000"/>
                <w:sz w:val="23"/>
                <w:i w:val="0"/>
                <w:iCs w:val="0"/>
                <w:szCs w:val="23"/>
                <w:lang w:val="fa-IR" w:bidi="fa-IR"/>
                <w:rtl w:val="1"/>
              </w:rPr>
              <w:t>اسناد مالی و حسابرسی</w:t>
            </w:r>
          </w:p>
        </w:tc>
      </w:tr>
      <w:tr>
        <w:trPr>
          <w:cantSplit/>
        </w:trPr>
        <w:tc>
          <w:tcPr>
            <w:tcW w:type="dxa" w:w="2268"/>
            <w:vAlign w:val="center"/>
          </w:tcPr>
          <w:p>
            <w:pPr>
              <w:bidi w:val="1"/>
              <w:spacing w:after="40" w:line="276" w:lineRule="auto"/>
              <w:ind w:firstLine="0"/>
              <w:jc w:val="start"/>
            </w:pPr>
            <w:r>
              <w:rPr>
                <w:rFonts w:ascii="Noto Naskh Arabic" w:hAnsi="Noto Naskh Arabic" w:eastAsia="Noto Naskh Arabic" w:cs="Noto Naskh Arabic"/>
                <w:b w:val="0"/>
                <w:color w:val="000000"/>
                <w:sz w:val="23"/>
                <w:i w:val="0"/>
                <w:iCs w:val="0"/>
                <w:szCs w:val="23"/>
                <w:lang w:val="fa-IR" w:bidi="fa-IR"/>
                <w:rtl w:val="1"/>
              </w:rPr>
              <w:t>ارتباط سیاسی و رسانه‌ای</w:t>
            </w:r>
          </w:p>
        </w:tc>
        <w:tc>
          <w:tcPr>
            <w:tcW w:type="dxa" w:w="3543"/>
            <w:vAlign w:val="center"/>
          </w:tcPr>
          <w:p>
            <w:pPr>
              <w:bidi w:val="1"/>
              <w:spacing w:after="40" w:line="276" w:lineRule="auto"/>
              <w:ind w:firstLine="0"/>
              <w:jc w:val="start"/>
            </w:pPr>
            <w:r>
              <w:rPr>
                <w:rFonts w:ascii="Noto Naskh Arabic" w:hAnsi="Noto Naskh Arabic" w:eastAsia="Noto Naskh Arabic" w:cs="Noto Naskh Arabic"/>
                <w:b w:val="0"/>
                <w:color w:val="000000"/>
                <w:sz w:val="23"/>
                <w:i w:val="0"/>
                <w:iCs w:val="0"/>
                <w:szCs w:val="23"/>
                <w:lang w:val="fa-IR" w:bidi="fa-IR"/>
                <w:rtl w:val="1"/>
              </w:rPr>
              <w:t>گزارش اقدام و نتیجهٔ مشخص</w:t>
            </w:r>
          </w:p>
        </w:tc>
        <w:tc>
          <w:tcPr>
            <w:tcW w:type="dxa" w:w="4161"/>
            <w:vAlign w:val="center"/>
          </w:tcPr>
          <w:p>
            <w:pPr>
              <w:bidi w:val="1"/>
              <w:spacing w:after="40" w:line="276" w:lineRule="auto"/>
              <w:ind w:firstLine="0"/>
              <w:jc w:val="start"/>
            </w:pPr>
            <w:r>
              <w:rPr>
                <w:rFonts w:ascii="Noto Naskh Arabic" w:hAnsi="Noto Naskh Arabic" w:eastAsia="Noto Naskh Arabic" w:cs="Noto Naskh Arabic"/>
                <w:b w:val="0"/>
                <w:color w:val="000000"/>
                <w:sz w:val="23"/>
                <w:i w:val="0"/>
                <w:iCs w:val="0"/>
                <w:szCs w:val="23"/>
                <w:lang w:val="fa-IR" w:bidi="fa-IR"/>
                <w:rtl w:val="1"/>
              </w:rPr>
              <w:t>صحت پیام و پیگیری نتیجه</w:t>
            </w:r>
          </w:p>
        </w:tc>
      </w:tr>
      <w:tr>
        <w:trPr>
          <w:cantSplit/>
        </w:trPr>
        <w:tc>
          <w:tcPr>
            <w:tcW w:type="dxa" w:w="2268"/>
            <w:vAlign w:val="center"/>
            <w:shd w:fill="F6F8F7" w:val="clear"/>
          </w:tcPr>
          <w:p>
            <w:pPr>
              <w:bidi w:val="1"/>
              <w:spacing w:after="40" w:line="276" w:lineRule="auto"/>
              <w:ind w:firstLine="0"/>
              <w:jc w:val="start"/>
            </w:pPr>
            <w:r>
              <w:rPr>
                <w:rFonts w:ascii="Noto Naskh Arabic" w:hAnsi="Noto Naskh Arabic" w:eastAsia="Noto Naskh Arabic" w:cs="Noto Naskh Arabic"/>
                <w:b w:val="0"/>
                <w:color w:val="000000"/>
                <w:sz w:val="23"/>
                <w:i w:val="0"/>
                <w:iCs w:val="0"/>
                <w:szCs w:val="23"/>
                <w:lang w:val="fa-IR" w:bidi="fa-IR"/>
                <w:rtl w:val="1"/>
              </w:rPr>
              <w:t>خدمات اجتماعی</w:t>
            </w:r>
          </w:p>
        </w:tc>
        <w:tc>
          <w:tcPr>
            <w:tcW w:type="dxa" w:w="3543"/>
            <w:vAlign w:val="center"/>
            <w:shd w:fill="F6F8F7" w:val="clear"/>
          </w:tcPr>
          <w:p>
            <w:pPr>
              <w:bidi w:val="1"/>
              <w:spacing w:after="40" w:line="276" w:lineRule="auto"/>
              <w:ind w:firstLine="0"/>
              <w:jc w:val="start"/>
            </w:pPr>
            <w:r>
              <w:rPr>
                <w:rFonts w:ascii="Noto Naskh Arabic" w:hAnsi="Noto Naskh Arabic" w:eastAsia="Noto Naskh Arabic" w:cs="Noto Naskh Arabic"/>
                <w:b w:val="0"/>
                <w:color w:val="000000"/>
                <w:sz w:val="23"/>
                <w:i w:val="0"/>
                <w:iCs w:val="0"/>
                <w:szCs w:val="23"/>
                <w:lang w:val="fa-IR" w:bidi="fa-IR"/>
                <w:rtl w:val="1"/>
              </w:rPr>
              <w:t>گزارش خدمت با حفظ محرمانگی</w:t>
            </w:r>
          </w:p>
        </w:tc>
        <w:tc>
          <w:tcPr>
            <w:tcW w:type="dxa" w:w="4161"/>
            <w:vAlign w:val="center"/>
            <w:shd w:fill="F6F8F7" w:val="clear"/>
          </w:tcPr>
          <w:p>
            <w:pPr>
              <w:bidi w:val="1"/>
              <w:spacing w:after="40" w:line="276" w:lineRule="auto"/>
              <w:ind w:firstLine="0"/>
              <w:jc w:val="start"/>
            </w:pPr>
            <w:r>
              <w:rPr>
                <w:rFonts w:ascii="Noto Naskh Arabic" w:hAnsi="Noto Naskh Arabic" w:eastAsia="Noto Naskh Arabic" w:cs="Noto Naskh Arabic"/>
                <w:b w:val="0"/>
                <w:color w:val="000000"/>
                <w:sz w:val="23"/>
                <w:i w:val="0"/>
                <w:iCs w:val="0"/>
                <w:szCs w:val="23"/>
                <w:lang w:val="fa-IR" w:bidi="fa-IR"/>
                <w:rtl w:val="1"/>
              </w:rPr>
              <w:t>نیاز پاسخ‌داده‌شده و کیفیت خدمت</w:t>
            </w:r>
          </w:p>
        </w:tc>
      </w:tr>
      <w:tr>
        <w:trPr>
          <w:cantSplit/>
        </w:trPr>
        <w:tc>
          <w:tcPr>
            <w:tcW w:type="dxa" w:w="2268"/>
            <w:vAlign w:val="center"/>
          </w:tcPr>
          <w:p>
            <w:pPr>
              <w:bidi w:val="1"/>
              <w:spacing w:after="40" w:line="276" w:lineRule="auto"/>
              <w:ind w:firstLine="0"/>
              <w:jc w:val="start"/>
            </w:pPr>
            <w:r>
              <w:rPr>
                <w:rFonts w:ascii="Noto Naskh Arabic" w:hAnsi="Noto Naskh Arabic" w:eastAsia="Noto Naskh Arabic" w:cs="Noto Naskh Arabic"/>
                <w:b w:val="0"/>
                <w:color w:val="000000"/>
                <w:sz w:val="23"/>
                <w:i w:val="0"/>
                <w:iCs w:val="0"/>
                <w:szCs w:val="23"/>
                <w:lang w:val="fa-IR" w:bidi="fa-IR"/>
                <w:rtl w:val="1"/>
              </w:rPr>
              <w:t>مدیریت گروه</w:t>
            </w:r>
          </w:p>
        </w:tc>
        <w:tc>
          <w:tcPr>
            <w:tcW w:type="dxa" w:w="3543"/>
            <w:vAlign w:val="center"/>
          </w:tcPr>
          <w:p>
            <w:pPr>
              <w:bidi w:val="1"/>
              <w:spacing w:after="40" w:line="276" w:lineRule="auto"/>
              <w:ind w:firstLine="0"/>
              <w:jc w:val="start"/>
            </w:pPr>
            <w:r>
              <w:rPr>
                <w:rFonts w:ascii="Noto Naskh Arabic" w:hAnsi="Noto Naskh Arabic" w:eastAsia="Noto Naskh Arabic" w:cs="Noto Naskh Arabic"/>
                <w:b w:val="0"/>
                <w:color w:val="000000"/>
                <w:sz w:val="23"/>
                <w:i w:val="0"/>
                <w:iCs w:val="0"/>
                <w:szCs w:val="23"/>
                <w:lang w:val="fa-IR" w:bidi="fa-IR"/>
                <w:rtl w:val="1"/>
              </w:rPr>
              <w:t>برنامه، تقسیم کار و گزارش دوره‌ای</w:t>
            </w:r>
          </w:p>
        </w:tc>
        <w:tc>
          <w:tcPr>
            <w:tcW w:type="dxa" w:w="4161"/>
            <w:vAlign w:val="center"/>
          </w:tcPr>
          <w:p>
            <w:pPr>
              <w:bidi w:val="1"/>
              <w:spacing w:after="40" w:line="276" w:lineRule="auto"/>
              <w:ind w:firstLine="0"/>
              <w:jc w:val="start"/>
            </w:pPr>
            <w:r>
              <w:rPr>
                <w:rFonts w:ascii="Noto Naskh Arabic" w:hAnsi="Noto Naskh Arabic" w:eastAsia="Noto Naskh Arabic" w:cs="Noto Naskh Arabic"/>
                <w:b w:val="0"/>
                <w:color w:val="000000"/>
                <w:sz w:val="23"/>
                <w:i w:val="0"/>
                <w:iCs w:val="0"/>
                <w:szCs w:val="23"/>
                <w:lang w:val="fa-IR" w:bidi="fa-IR"/>
                <w:rtl w:val="1"/>
              </w:rPr>
              <w:t>تحقق تعهد و پاسخ به نقد</w:t>
            </w:r>
          </w:p>
        </w:tc>
      </w:tr>
    </w:tbl>
    <w:p>
      <w:pPr>
        <w:spacing w:after="0"/>
      </w:pPr>
    </w:p>
    <w:p>
      <w:pPr>
        <w:pStyle w:val="Heading1"/>
        <w:bidi w:val="1"/>
        <w:ind w:firstLine="0"/>
        <w:jc w:val="start"/>
      </w:pPr>
      <w:r>
        <w:rPr>
          <w:rFonts w:ascii="Noto Kufi Arabic" w:hAnsi="Noto Kufi Arabic" w:eastAsia="Noto Kufi Arabic" w:cs="Noto Kufi Arabic"/>
          <w:b/>
          <w:color w:val="000000"/>
          <w:sz w:val="32"/>
          <w:i w:val="0"/>
          <w:iCs w:val="0"/>
          <w:szCs w:val="32"/>
          <w:lang w:val="fa-IR" w:bidi="fa-IR"/>
          <w:rtl w:val="1"/>
          <w:b w:val="1"/>
          <w:bCs w:val="1"/>
        </w:rPr>
        <w:t>معماری ایران نوین از امروز آغاز می‌شود</w:t>
      </w:r>
    </w:p>
    <w:p>
      <w:pPr>
        <w:bidi w:val="1"/>
        <w:ind w:firstLine="340"/>
        <w:jc w:val="start"/>
      </w:pPr>
      <w:r>
        <w:rPr>
          <w:rFonts w:ascii="Noto Naskh Arabic" w:hAnsi="Noto Naskh Arabic" w:eastAsia="Noto Naskh Arabic" w:cs="Noto Naskh Arabic"/>
          <w:b w:val="0"/>
          <w:color w:val="000000"/>
          <w:sz w:val="26"/>
          <w:i w:val="0"/>
          <w:iCs w:val="0"/>
          <w:szCs w:val="26"/>
          <w:lang w:val="fa-IR" w:bidi="fa-IR"/>
          <w:rtl w:val="1"/>
        </w:rPr>
        <w:t>تمدن‌ساز ایران نوین کسی است که ایران را با همهٔ مردمش ببیند و بتواند سهم خود را در بهبود آن توضیح دهد. سرمایه‌گذاری، سازمان‌یابی کارگران، حفاظت از طبیعت، دفاع از حقوق زنان، آزادی باور و شفافیت مالی، اجزای یک زندگی مشترک‌اند. همکاری آنها نیازمند قانون و امکان گفت‌وگوست؛ هیچ بخش جامعه نباید برای شنیده‌شدن، استقلال خود را واگذار کند.</w:t>
      </w:r>
    </w:p>
    <w:p>
      <w:pPr>
        <w:bidi w:val="1"/>
        <w:ind w:firstLine="340"/>
        <w:jc w:val="start"/>
      </w:pPr>
      <w:r>
        <w:rPr>
          <w:rFonts w:ascii="Noto Naskh Arabic" w:hAnsi="Noto Naskh Arabic" w:eastAsia="Noto Naskh Arabic" w:cs="Noto Naskh Arabic"/>
          <w:b w:val="0"/>
          <w:color w:val="000000"/>
          <w:sz w:val="26"/>
          <w:i w:val="0"/>
          <w:iCs w:val="0"/>
          <w:szCs w:val="26"/>
          <w:lang w:val="fa-IR" w:bidi="fa-IR"/>
          <w:rtl w:val="1"/>
        </w:rPr>
        <w:t>من شاهزاده رضا پهلوی را محور پیمان ملی برای این راه می‌دانم و از پادشاهی مشروطه دفاع می‌کنم. معنای این حمایت در رفتار امروز ما آشکار می‌شود: در تحمل نقد، در امانت‌داری و در کاری که برای مردم انجام می‌دهیم. تمدن آینده را ایرانیانی می‌سازند که می‌توانند با سربلندی دربارهٔ کارنامهٔ خود سخن بگویند و هم‌زمان، حق پرسش و مخالفت را برای دیگران محفوظ بدارند.</w:t>
      </w:r>
    </w:p>
    <w:p>
      <w:pPr>
        <w:pStyle w:val="Heading1"/>
        <w:bidi w:val="1"/>
        <w:ind w:firstLine="0"/>
        <w:jc w:val="start"/>
      </w:pPr>
      <w:r>
        <w:rPr>
          <w:rFonts w:ascii="Noto Kufi Arabic" w:hAnsi="Noto Kufi Arabic" w:eastAsia="Noto Kufi Arabic" w:cs="Noto Kufi Arabic"/>
          <w:b/>
          <w:color w:val="000000"/>
          <w:sz w:val="32"/>
          <w:i w:val="0"/>
          <w:iCs w:val="0"/>
          <w:szCs w:val="32"/>
          <w:lang w:val="fa-IR" w:bidi="fa-IR"/>
          <w:rtl w:val="1"/>
          <w:b w:val="1"/>
          <w:bCs w:val="1"/>
        </w:rPr>
        <w:t>منابع</w:t>
      </w:r>
    </w:p>
    <w:p>
      <w:pPr>
        <w:keepNext/>
        <w:bidi w:val="1"/>
        <w:ind w:firstLine="0"/>
        <w:jc w:val="start"/>
      </w:pPr>
      <w:r>
        <w:rPr>
          <w:rFonts w:ascii="Noto Naskh Arabic" w:hAnsi="Noto Naskh Arabic" w:eastAsia="Noto Naskh Arabic" w:cs="Noto Naskh Arabic"/>
          <w:b w:val="0"/>
          <w:color w:val="000000"/>
          <w:sz w:val="23"/>
          <w:i w:val="0"/>
          <w:iCs w:val="0"/>
          <w:szCs w:val="23"/>
          <w:lang w:val="fa-IR" w:bidi="fa-IR"/>
          <w:rtl w:val="1"/>
        </w:rPr>
        <w:t>منابع برخط در ۱۳ اکتبر ۲۰۲۶ بررسی شده‌اند. منابع ۲ و ۱۲ برای توضیح تداوم دیدگاه نویسنده‌اند؛ سایر منابع، اسناد و راهنماهای مورد استفاده در تحلیل‌اند.</w:t>
      </w:r>
    </w:p>
    <w:p>
      <w:pPr>
        <w:pStyle w:val="PersianBibliography"/>
        <w:keepLines/>
        <w:bidi w:val="1"/>
        <w:ind w:firstLine="0"/>
        <w:jc w:val="start"/>
      </w:pPr>
      <w:r>
        <w:rPr>
          <w:rFonts w:ascii="Noto Naskh Arabic" w:hAnsi="Noto Naskh Arabic" w:eastAsia="Noto Naskh Arabic" w:cs="Noto Naskh Arabic"/>
          <w:b/>
          <w:color w:val="000000"/>
          <w:sz w:val="23"/>
          <w:i w:val="0"/>
          <w:iCs w:val="0"/>
          <w:szCs w:val="23"/>
          <w:lang w:val="fa-IR" w:bidi="fa-IR"/>
          <w:rtl w:val="1"/>
          <w:b w:val="1"/>
          <w:bCs w:val="1"/>
        </w:rPr>
        <w:t xml:space="preserve">۱. </w:t>
      </w:r>
      <w:r>
        <w:rPr>
          <w:rFonts w:ascii="Noto Naskh Arabic" w:hAnsi="Noto Naskh Arabic" w:eastAsia="Noto Naskh Arabic" w:cs="Noto Naskh Arabic"/>
          <w:b w:val="0"/>
          <w:color w:val="000000"/>
          <w:sz w:val="23"/>
          <w:i w:val="0"/>
          <w:iCs w:val="0"/>
          <w:szCs w:val="23"/>
          <w:lang w:val="fa-IR" w:bidi="fa-IR"/>
          <w:rtl w:val="1"/>
        </w:rPr>
        <w:t xml:space="preserve">مجمع عمومی سازمان ملل متحد. اعلامیهٔ جهانی حقوق بشر. قطعنامهٔ ۲۱۷ آ، ۱۰ دسامبر ۱۹۴۸. مواد ۲، ۷، ۱۸، ۱۹، ۲۰، ۲۱ و ۲۳. متن رسمی سند در </w:t>
      </w:r>
      <w:r>
        <w:rPr>
          <w:rFonts w:ascii="Liberation Serif" w:hAnsi="Liberation Serif" w:eastAsia="Liberation Serif" w:cs="Liberation Serif"/>
          <w:b w:val="0"/>
          <w:color w:val="000000"/>
          <w:sz w:val="23"/>
          <w:i w:val="0"/>
          <w:iCs w:val="0"/>
          <w:szCs w:val="23"/>
          <w:lang w:val="en-GB" w:bidi="fa-IR"/>
          <w:rtl w:val="0"/>
        </w:rPr>
        <w:t xml:space="preserve">Refworld </w:t>
      </w:r>
      <w:r>
        <w:rPr>
          <w:rFonts w:ascii="Noto Naskh Arabic" w:hAnsi="Noto Naskh Arabic" w:eastAsia="Noto Naskh Arabic" w:cs="Noto Naskh Arabic"/>
          <w:b w:val="0"/>
          <w:color w:val="000000"/>
          <w:sz w:val="23"/>
          <w:i w:val="0"/>
          <w:iCs w:val="0"/>
          <w:szCs w:val="23"/>
          <w:lang w:val="fa-IR" w:bidi="fa-IR"/>
          <w:rtl w:val="1"/>
        </w:rPr>
        <w:t>سازمان ملل.</w:t>
      </w:r>
      <w:r>
        <w:rPr>
          <w:rFonts w:ascii="Noto Naskh Arabic" w:hAnsi="Noto Naskh Arabic" w:eastAsia="Noto Naskh Arabic" w:cs="Noto Naskh Arabic"/>
          <w:b w:val="0"/>
          <w:color w:val="000000"/>
          <w:sz w:val="23"/>
          <w:i w:val="0"/>
          <w:iCs w:val="0"/>
          <w:szCs w:val="23"/>
          <w:lang w:val="fa-IR" w:bidi="fa-IR"/>
          <w:rtl w:val="1"/>
        </w:rPr>
        <w:t xml:space="preserve"> </w:t>
      </w:r>
      <w:hyperlink r:id="rId9">
        <w:r>
          <w:rPr>
            <w:i w:val="0"/>
            <w:iCs w:val="0"/>
            <w:rFonts w:ascii="Noto Naskh Arabic" w:hAnsi="Noto Naskh Arabic" w:eastAsia="Noto Naskh Arabic" w:cs="Noto Naskh Arabic"/>
            <w:sz w:val="23"/>
            <w:szCs w:val="23"/>
            <w:lang w:val="fa-IR" w:bidi="fa-IR"/>
            <w:rtl w:val="1"/>
            <w:color w:val="145D4D"/>
            <w:u w:val="single"/>
          </w:rPr>
          <w:t>پیوند منبع</w:t>
        </w:r>
      </w:hyperlink>
    </w:p>
    <w:p>
      <w:pPr>
        <w:pStyle w:val="PersianBibliography"/>
        <w:keepLines/>
        <w:bidi w:val="1"/>
        <w:ind w:firstLine="0"/>
        <w:jc w:val="start"/>
      </w:pPr>
      <w:r>
        <w:rPr>
          <w:rFonts w:ascii="Noto Naskh Arabic" w:hAnsi="Noto Naskh Arabic" w:eastAsia="Noto Naskh Arabic" w:cs="Noto Naskh Arabic"/>
          <w:b/>
          <w:color w:val="000000"/>
          <w:sz w:val="23"/>
          <w:i w:val="0"/>
          <w:iCs w:val="0"/>
          <w:szCs w:val="23"/>
          <w:lang w:val="fa-IR" w:bidi="fa-IR"/>
          <w:rtl w:val="1"/>
          <w:b w:val="1"/>
          <w:bCs w:val="1"/>
        </w:rPr>
        <w:t xml:space="preserve">۲. </w:t>
      </w:r>
      <w:r>
        <w:rPr>
          <w:rFonts w:ascii="Noto Naskh Arabic" w:hAnsi="Noto Naskh Arabic" w:eastAsia="Noto Naskh Arabic" w:cs="Noto Naskh Arabic"/>
          <w:b w:val="0"/>
          <w:color w:val="000000"/>
          <w:sz w:val="23"/>
          <w:i w:val="0"/>
          <w:iCs w:val="0"/>
          <w:szCs w:val="23"/>
          <w:lang w:val="fa-IR" w:bidi="fa-IR"/>
          <w:rtl w:val="1"/>
        </w:rPr>
        <w:t>بخشایش، پیمان. پهلویسم چیست و پهلویست کیست؟ از دولت‌سازی و نوسازی ایران تا قرائتی دموکراتیک برای آینده. نسخهٔ بازبینی‌شده در ۸ اکتبر ۲۰۲۶. ارجاع برای توضیح دیدگاه نویسنده.</w:t>
      </w:r>
      <w:r>
        <w:rPr>
          <w:rFonts w:ascii="Noto Naskh Arabic" w:hAnsi="Noto Naskh Arabic" w:eastAsia="Noto Naskh Arabic" w:cs="Noto Naskh Arabic"/>
          <w:b w:val="0"/>
          <w:color w:val="000000"/>
          <w:sz w:val="23"/>
          <w:i w:val="0"/>
          <w:iCs w:val="0"/>
          <w:szCs w:val="23"/>
          <w:lang w:val="fa-IR" w:bidi="fa-IR"/>
          <w:rtl w:val="1"/>
        </w:rPr>
        <w:t xml:space="preserve"> </w:t>
      </w:r>
      <w:hyperlink r:id="rId10">
        <w:r>
          <w:rPr>
            <w:i w:val="0"/>
            <w:iCs w:val="0"/>
            <w:rFonts w:ascii="Noto Naskh Arabic" w:hAnsi="Noto Naskh Arabic" w:eastAsia="Noto Naskh Arabic" w:cs="Noto Naskh Arabic"/>
            <w:sz w:val="23"/>
            <w:szCs w:val="23"/>
            <w:lang w:val="fa-IR" w:bidi="fa-IR"/>
            <w:rtl w:val="1"/>
            <w:color w:val="145D4D"/>
            <w:u w:val="single"/>
          </w:rPr>
          <w:t>پیوند منبع</w:t>
        </w:r>
      </w:hyperlink>
    </w:p>
    <w:p>
      <w:pPr>
        <w:pStyle w:val="PersianBibliography"/>
        <w:keepLines/>
        <w:bidi w:val="1"/>
        <w:ind w:firstLine="0"/>
        <w:jc w:val="start"/>
      </w:pPr>
      <w:r>
        <w:rPr>
          <w:rFonts w:ascii="Noto Naskh Arabic" w:hAnsi="Noto Naskh Arabic" w:eastAsia="Noto Naskh Arabic" w:cs="Noto Naskh Arabic"/>
          <w:b/>
          <w:color w:val="000000"/>
          <w:sz w:val="23"/>
          <w:i w:val="0"/>
          <w:iCs w:val="0"/>
          <w:szCs w:val="23"/>
          <w:lang w:val="fa-IR" w:bidi="fa-IR"/>
          <w:rtl w:val="1"/>
          <w:b w:val="1"/>
          <w:bCs w:val="1"/>
        </w:rPr>
        <w:t xml:space="preserve">۳. </w:t>
      </w:r>
      <w:r>
        <w:rPr>
          <w:rFonts w:ascii="Noto Naskh Arabic" w:hAnsi="Noto Naskh Arabic" w:eastAsia="Noto Naskh Arabic" w:cs="Noto Naskh Arabic"/>
          <w:b w:val="0"/>
          <w:color w:val="000000"/>
          <w:sz w:val="23"/>
          <w:i w:val="0"/>
          <w:iCs w:val="0"/>
          <w:szCs w:val="23"/>
          <w:lang w:val="fa-IR" w:bidi="fa-IR"/>
          <w:rtl w:val="1"/>
        </w:rPr>
        <w:t xml:space="preserve">وب‌سایت رسمی رضا پهلوی. </w:t>
      </w:r>
      <w:r>
        <w:rPr>
          <w:rFonts w:ascii="Liberation Serif" w:hAnsi="Liberation Serif" w:eastAsia="Liberation Serif" w:cs="Liberation Serif"/>
          <w:b w:val="0"/>
          <w:color w:val="000000"/>
          <w:sz w:val="23"/>
          <w:i w:val="0"/>
          <w:iCs w:val="0"/>
          <w:szCs w:val="23"/>
          <w:lang w:val="en-GB" w:bidi="fa-IR"/>
          <w:rtl w:val="0"/>
        </w:rPr>
        <w:t>About Reza Pahlavi</w:t>
      </w:r>
      <w:r>
        <w:rPr>
          <w:rFonts w:ascii="Noto Naskh Arabic" w:hAnsi="Noto Naskh Arabic" w:eastAsia="Noto Naskh Arabic" w:cs="Noto Naskh Arabic"/>
          <w:b w:val="0"/>
          <w:color w:val="000000"/>
          <w:sz w:val="23"/>
          <w:i w:val="0"/>
          <w:iCs w:val="0"/>
          <w:szCs w:val="23"/>
          <w:lang w:val="fa-IR" w:bidi="fa-IR"/>
          <w:rtl w:val="1"/>
        </w:rPr>
        <w:t xml:space="preserve">، بخش </w:t>
      </w:r>
      <w:r>
        <w:rPr>
          <w:rFonts w:ascii="Liberation Serif" w:hAnsi="Liberation Serif" w:eastAsia="Liberation Serif" w:cs="Liberation Serif"/>
          <w:b w:val="0"/>
          <w:color w:val="000000"/>
          <w:sz w:val="23"/>
          <w:i w:val="0"/>
          <w:iCs w:val="0"/>
          <w:szCs w:val="23"/>
          <w:lang w:val="en-GB" w:bidi="fa-IR"/>
          <w:rtl w:val="0"/>
        </w:rPr>
        <w:t xml:space="preserve">Fundamental Principles. </w:t>
      </w:r>
      <w:r>
        <w:rPr>
          <w:rFonts w:ascii="Noto Naskh Arabic" w:hAnsi="Noto Naskh Arabic" w:eastAsia="Noto Naskh Arabic" w:cs="Noto Naskh Arabic"/>
          <w:b w:val="0"/>
          <w:color w:val="000000"/>
          <w:sz w:val="23"/>
          <w:i w:val="0"/>
          <w:iCs w:val="0"/>
          <w:szCs w:val="23"/>
          <w:lang w:val="fa-IR" w:bidi="fa-IR"/>
          <w:rtl w:val="1"/>
        </w:rPr>
        <w:t>اصول بنیادین و مواضع اعلام‌شده. بررسی در ۱۳ اکتبر ۲۰۲۶.</w:t>
      </w:r>
      <w:r>
        <w:rPr>
          <w:rFonts w:ascii="Noto Naskh Arabic" w:hAnsi="Noto Naskh Arabic" w:eastAsia="Noto Naskh Arabic" w:cs="Noto Naskh Arabic"/>
          <w:b w:val="0"/>
          <w:color w:val="000000"/>
          <w:sz w:val="23"/>
          <w:i w:val="0"/>
          <w:iCs w:val="0"/>
          <w:szCs w:val="23"/>
          <w:lang w:val="fa-IR" w:bidi="fa-IR"/>
          <w:rtl w:val="1"/>
        </w:rPr>
        <w:t xml:space="preserve"> </w:t>
      </w:r>
      <w:hyperlink r:id="rId11">
        <w:r>
          <w:rPr>
            <w:i w:val="0"/>
            <w:iCs w:val="0"/>
            <w:rFonts w:ascii="Noto Naskh Arabic" w:hAnsi="Noto Naskh Arabic" w:eastAsia="Noto Naskh Arabic" w:cs="Noto Naskh Arabic"/>
            <w:sz w:val="23"/>
            <w:szCs w:val="23"/>
            <w:lang w:val="fa-IR" w:bidi="fa-IR"/>
            <w:rtl w:val="1"/>
            <w:color w:val="145D4D"/>
            <w:u w:val="single"/>
          </w:rPr>
          <w:t>پیوند منبع</w:t>
        </w:r>
      </w:hyperlink>
    </w:p>
    <w:p>
      <w:pPr>
        <w:pStyle w:val="PersianBibliography"/>
        <w:keepLines/>
        <w:bidi w:val="1"/>
        <w:ind w:firstLine="0"/>
        <w:jc w:val="start"/>
      </w:pPr>
      <w:r>
        <w:rPr>
          <w:rFonts w:ascii="Noto Naskh Arabic" w:hAnsi="Noto Naskh Arabic" w:eastAsia="Noto Naskh Arabic" w:cs="Noto Naskh Arabic"/>
          <w:b/>
          <w:color w:val="000000"/>
          <w:sz w:val="23"/>
          <w:i w:val="0"/>
          <w:iCs w:val="0"/>
          <w:szCs w:val="23"/>
          <w:lang w:val="fa-IR" w:bidi="fa-IR"/>
          <w:rtl w:val="1"/>
          <w:b w:val="1"/>
          <w:bCs w:val="1"/>
        </w:rPr>
        <w:t xml:space="preserve">۴. </w:t>
      </w:r>
      <w:r>
        <w:rPr>
          <w:rFonts w:ascii="Noto Naskh Arabic" w:hAnsi="Noto Naskh Arabic" w:eastAsia="Noto Naskh Arabic" w:cs="Noto Naskh Arabic"/>
          <w:b w:val="0"/>
          <w:color w:val="000000"/>
          <w:sz w:val="23"/>
          <w:i w:val="0"/>
          <w:iCs w:val="0"/>
          <w:szCs w:val="23"/>
          <w:lang w:val="fa-IR" w:bidi="fa-IR"/>
          <w:rtl w:val="1"/>
        </w:rPr>
        <w:t xml:space="preserve">سازمان بین‌المللی کار. </w:t>
      </w:r>
      <w:r>
        <w:rPr>
          <w:rFonts w:ascii="Liberation Serif" w:hAnsi="Liberation Serif" w:eastAsia="Liberation Serif" w:cs="Liberation Serif"/>
          <w:b w:val="0"/>
          <w:color w:val="000000"/>
          <w:sz w:val="23"/>
          <w:i w:val="0"/>
          <w:iCs w:val="0"/>
          <w:szCs w:val="23"/>
          <w:lang w:val="en-GB" w:bidi="fa-IR"/>
          <w:rtl w:val="0"/>
        </w:rPr>
        <w:t xml:space="preserve">Social Dialogue and Tripartism. </w:t>
      </w:r>
      <w:r>
        <w:rPr>
          <w:rFonts w:ascii="Noto Naskh Arabic" w:hAnsi="Noto Naskh Arabic" w:eastAsia="Noto Naskh Arabic" w:cs="Noto Naskh Arabic"/>
          <w:b w:val="0"/>
          <w:color w:val="000000"/>
          <w:sz w:val="23"/>
          <w:i w:val="0"/>
          <w:iCs w:val="0"/>
          <w:szCs w:val="23"/>
          <w:lang w:val="fa-IR" w:bidi="fa-IR"/>
          <w:rtl w:val="1"/>
        </w:rPr>
        <w:t>تعریف گفت‌وگوی اجتماعی و نقش دولت، کارفرمایان و کارگران. بررسی در ۱۳ اکتبر ۲۰۲۶.</w:t>
      </w:r>
      <w:r>
        <w:rPr>
          <w:rFonts w:ascii="Noto Naskh Arabic" w:hAnsi="Noto Naskh Arabic" w:eastAsia="Noto Naskh Arabic" w:cs="Noto Naskh Arabic"/>
          <w:b w:val="0"/>
          <w:color w:val="000000"/>
          <w:sz w:val="23"/>
          <w:i w:val="0"/>
          <w:iCs w:val="0"/>
          <w:szCs w:val="23"/>
          <w:lang w:val="fa-IR" w:bidi="fa-IR"/>
          <w:rtl w:val="1"/>
        </w:rPr>
        <w:t xml:space="preserve"> </w:t>
      </w:r>
      <w:hyperlink r:id="rId12">
        <w:r>
          <w:rPr>
            <w:i w:val="0"/>
            <w:iCs w:val="0"/>
            <w:rFonts w:ascii="Noto Naskh Arabic" w:hAnsi="Noto Naskh Arabic" w:eastAsia="Noto Naskh Arabic" w:cs="Noto Naskh Arabic"/>
            <w:sz w:val="23"/>
            <w:szCs w:val="23"/>
            <w:lang w:val="fa-IR" w:bidi="fa-IR"/>
            <w:rtl w:val="1"/>
            <w:color w:val="145D4D"/>
            <w:u w:val="single"/>
          </w:rPr>
          <w:t>پیوند منبع</w:t>
        </w:r>
      </w:hyperlink>
    </w:p>
    <w:p>
      <w:pPr>
        <w:pStyle w:val="PersianBibliography"/>
        <w:keepLines/>
        <w:bidi w:val="1"/>
        <w:ind w:firstLine="0"/>
        <w:jc w:val="start"/>
      </w:pPr>
      <w:r>
        <w:rPr>
          <w:rFonts w:ascii="Noto Naskh Arabic" w:hAnsi="Noto Naskh Arabic" w:eastAsia="Noto Naskh Arabic" w:cs="Noto Naskh Arabic"/>
          <w:b/>
          <w:color w:val="000000"/>
          <w:sz w:val="23"/>
          <w:i w:val="0"/>
          <w:iCs w:val="0"/>
          <w:szCs w:val="23"/>
          <w:lang w:val="fa-IR" w:bidi="fa-IR"/>
          <w:rtl w:val="1"/>
          <w:b w:val="1"/>
          <w:bCs w:val="1"/>
        </w:rPr>
        <w:t xml:space="preserve">۵. </w:t>
      </w:r>
      <w:r>
        <w:rPr>
          <w:rFonts w:ascii="Noto Naskh Arabic" w:hAnsi="Noto Naskh Arabic" w:eastAsia="Noto Naskh Arabic" w:cs="Noto Naskh Arabic"/>
          <w:b w:val="0"/>
          <w:color w:val="000000"/>
          <w:sz w:val="23"/>
          <w:i w:val="0"/>
          <w:iCs w:val="0"/>
          <w:szCs w:val="23"/>
          <w:lang w:val="fa-IR" w:bidi="fa-IR"/>
          <w:rtl w:val="1"/>
        </w:rPr>
        <w:t xml:space="preserve">برنامهٔ محیط زیست سازمان ملل متحد. </w:t>
      </w:r>
      <w:r>
        <w:rPr>
          <w:rFonts w:ascii="Liberation Serif" w:hAnsi="Liberation Serif" w:eastAsia="Liberation Serif" w:cs="Liberation Serif"/>
          <w:b w:val="0"/>
          <w:color w:val="000000"/>
          <w:sz w:val="23"/>
          <w:i w:val="0"/>
          <w:iCs w:val="0"/>
          <w:szCs w:val="23"/>
          <w:lang w:val="en-GB" w:bidi="fa-IR"/>
          <w:rtl w:val="0"/>
        </w:rPr>
        <w:t xml:space="preserve">Framework Principles on Human Rights and the Environment. </w:t>
      </w:r>
      <w:r>
        <w:rPr>
          <w:rFonts w:ascii="Noto Naskh Arabic" w:hAnsi="Noto Naskh Arabic" w:eastAsia="Noto Naskh Arabic" w:cs="Noto Naskh Arabic"/>
          <w:b w:val="0"/>
          <w:color w:val="000000"/>
          <w:sz w:val="23"/>
          <w:i w:val="0"/>
          <w:iCs w:val="0"/>
          <w:szCs w:val="23"/>
          <w:lang w:val="fa-IR" w:bidi="fa-IR"/>
          <w:rtl w:val="1"/>
        </w:rPr>
        <w:t>۵ مارس ۲۰۱۸. به‌ویژه اصول ۷، ۸، ۹ و ۱۰.</w:t>
      </w:r>
      <w:r>
        <w:rPr>
          <w:rFonts w:ascii="Noto Naskh Arabic" w:hAnsi="Noto Naskh Arabic" w:eastAsia="Noto Naskh Arabic" w:cs="Noto Naskh Arabic"/>
          <w:b w:val="0"/>
          <w:color w:val="000000"/>
          <w:sz w:val="23"/>
          <w:i w:val="0"/>
          <w:iCs w:val="0"/>
          <w:szCs w:val="23"/>
          <w:lang w:val="fa-IR" w:bidi="fa-IR"/>
          <w:rtl w:val="1"/>
        </w:rPr>
        <w:t xml:space="preserve"> </w:t>
      </w:r>
      <w:hyperlink r:id="rId13">
        <w:r>
          <w:rPr>
            <w:i w:val="0"/>
            <w:iCs w:val="0"/>
            <w:rFonts w:ascii="Noto Naskh Arabic" w:hAnsi="Noto Naskh Arabic" w:eastAsia="Noto Naskh Arabic" w:cs="Noto Naskh Arabic"/>
            <w:sz w:val="23"/>
            <w:szCs w:val="23"/>
            <w:lang w:val="fa-IR" w:bidi="fa-IR"/>
            <w:rtl w:val="1"/>
            <w:color w:val="145D4D"/>
            <w:u w:val="single"/>
          </w:rPr>
          <w:t>پیوند منبع</w:t>
        </w:r>
      </w:hyperlink>
    </w:p>
    <w:p>
      <w:pPr>
        <w:pStyle w:val="PersianBibliography"/>
        <w:keepLines/>
        <w:bidi w:val="1"/>
        <w:ind w:firstLine="0"/>
        <w:jc w:val="start"/>
      </w:pPr>
      <w:r>
        <w:rPr>
          <w:rFonts w:ascii="Noto Naskh Arabic" w:hAnsi="Noto Naskh Arabic" w:eastAsia="Noto Naskh Arabic" w:cs="Noto Naskh Arabic"/>
          <w:b/>
          <w:color w:val="000000"/>
          <w:sz w:val="23"/>
          <w:i w:val="0"/>
          <w:iCs w:val="0"/>
          <w:szCs w:val="23"/>
          <w:lang w:val="fa-IR" w:bidi="fa-IR"/>
          <w:rtl w:val="1"/>
          <w:b w:val="1"/>
          <w:bCs w:val="1"/>
        </w:rPr>
        <w:t xml:space="preserve">۶. </w:t>
      </w:r>
      <w:r>
        <w:rPr>
          <w:rFonts w:ascii="Noto Naskh Arabic" w:hAnsi="Noto Naskh Arabic" w:eastAsia="Noto Naskh Arabic" w:cs="Noto Naskh Arabic"/>
          <w:b w:val="0"/>
          <w:color w:val="000000"/>
          <w:sz w:val="23"/>
          <w:i w:val="0"/>
          <w:iCs w:val="0"/>
          <w:szCs w:val="23"/>
          <w:lang w:val="fa-IR" w:bidi="fa-IR"/>
          <w:rtl w:val="1"/>
        </w:rPr>
        <w:t xml:space="preserve">قانون اساسی جمهوری اسلامی ایران، مصوب ۱۳۵۸ با بازنگری ۱۳۶۸. اصول ۴، ۲۰، ۹۱، ۹۹، ۱۰۷ و ۱۱۰. متن انگلیسی در مجموعهٔ </w:t>
      </w:r>
      <w:r>
        <w:rPr>
          <w:rFonts w:ascii="Liberation Serif" w:hAnsi="Liberation Serif" w:eastAsia="Liberation Serif" w:cs="Liberation Serif"/>
          <w:b w:val="0"/>
          <w:color w:val="000000"/>
          <w:sz w:val="23"/>
          <w:i w:val="0"/>
          <w:iCs w:val="0"/>
          <w:szCs w:val="23"/>
          <w:lang w:val="en-GB" w:bidi="fa-IR"/>
          <w:rtl w:val="0"/>
        </w:rPr>
        <w:t>Constitute.</w:t>
      </w:r>
      <w:r>
        <w:rPr>
          <w:rFonts w:ascii="Noto Naskh Arabic" w:hAnsi="Noto Naskh Arabic" w:eastAsia="Noto Naskh Arabic" w:cs="Noto Naskh Arabic"/>
          <w:b w:val="0"/>
          <w:color w:val="000000"/>
          <w:sz w:val="23"/>
          <w:i w:val="0"/>
          <w:iCs w:val="0"/>
          <w:szCs w:val="23"/>
          <w:lang w:val="fa-IR" w:bidi="fa-IR"/>
          <w:rtl w:val="1"/>
        </w:rPr>
        <w:t xml:space="preserve"> </w:t>
      </w:r>
      <w:hyperlink r:id="rId14">
        <w:r>
          <w:rPr>
            <w:i w:val="0"/>
            <w:iCs w:val="0"/>
            <w:rFonts w:ascii="Noto Naskh Arabic" w:hAnsi="Noto Naskh Arabic" w:eastAsia="Noto Naskh Arabic" w:cs="Noto Naskh Arabic"/>
            <w:sz w:val="23"/>
            <w:szCs w:val="23"/>
            <w:lang w:val="fa-IR" w:bidi="fa-IR"/>
            <w:rtl w:val="1"/>
            <w:color w:val="145D4D"/>
            <w:u w:val="single"/>
          </w:rPr>
          <w:t>پیوند منبع</w:t>
        </w:r>
      </w:hyperlink>
    </w:p>
    <w:p>
      <w:pPr>
        <w:pStyle w:val="PersianBibliography"/>
        <w:keepLines/>
        <w:bidi w:val="1"/>
        <w:ind w:firstLine="0"/>
        <w:jc w:val="start"/>
      </w:pPr>
      <w:r>
        <w:rPr>
          <w:rFonts w:ascii="Noto Naskh Arabic" w:hAnsi="Noto Naskh Arabic" w:eastAsia="Noto Naskh Arabic" w:cs="Noto Naskh Arabic"/>
          <w:b/>
          <w:color w:val="000000"/>
          <w:sz w:val="23"/>
          <w:i w:val="0"/>
          <w:iCs w:val="0"/>
          <w:szCs w:val="23"/>
          <w:lang w:val="fa-IR" w:bidi="fa-IR"/>
          <w:rtl w:val="1"/>
          <w:b w:val="1"/>
          <w:bCs w:val="1"/>
        </w:rPr>
        <w:t xml:space="preserve">۷. </w:t>
      </w:r>
      <w:r>
        <w:rPr>
          <w:rFonts w:ascii="Noto Naskh Arabic" w:hAnsi="Noto Naskh Arabic" w:eastAsia="Noto Naskh Arabic" w:cs="Noto Naskh Arabic"/>
          <w:b w:val="0"/>
          <w:color w:val="000000"/>
          <w:sz w:val="23"/>
          <w:i w:val="0"/>
          <w:iCs w:val="0"/>
          <w:szCs w:val="23"/>
          <w:lang w:val="fa-IR" w:bidi="fa-IR"/>
          <w:rtl w:val="1"/>
        </w:rPr>
        <w:t xml:space="preserve">دفتر مقابله با مواد مخدر و جرم سازمان ملل متحد. </w:t>
      </w:r>
      <w:r>
        <w:rPr>
          <w:rFonts w:ascii="Liberation Serif" w:hAnsi="Liberation Serif" w:eastAsia="Liberation Serif" w:cs="Liberation Serif"/>
          <w:b w:val="0"/>
          <w:color w:val="000000"/>
          <w:sz w:val="23"/>
          <w:i w:val="0"/>
          <w:iCs w:val="0"/>
          <w:szCs w:val="23"/>
          <w:lang w:val="en-GB" w:bidi="fa-IR"/>
          <w:rtl w:val="0"/>
        </w:rPr>
        <w:t>Corruption in Public Procurement</w:t>
      </w:r>
      <w:r>
        <w:rPr>
          <w:rFonts w:ascii="Noto Naskh Arabic" w:hAnsi="Noto Naskh Arabic" w:eastAsia="Noto Naskh Arabic" w:cs="Noto Naskh Arabic"/>
          <w:b w:val="0"/>
          <w:color w:val="000000"/>
          <w:sz w:val="23"/>
          <w:i w:val="0"/>
          <w:iCs w:val="0"/>
          <w:szCs w:val="23"/>
          <w:lang w:val="fa-IR" w:bidi="fa-IR"/>
          <w:rtl w:val="1"/>
        </w:rPr>
        <w:t xml:space="preserve">، مجموعهٔ </w:t>
      </w:r>
      <w:r>
        <w:rPr>
          <w:rFonts w:ascii="Liberation Serif" w:hAnsi="Liberation Serif" w:eastAsia="Liberation Serif" w:cs="Liberation Serif"/>
          <w:b w:val="0"/>
          <w:color w:val="000000"/>
          <w:sz w:val="23"/>
          <w:i w:val="0"/>
          <w:iCs w:val="0"/>
          <w:szCs w:val="23"/>
          <w:lang w:val="en-GB" w:bidi="fa-IR"/>
          <w:rtl w:val="0"/>
        </w:rPr>
        <w:t>Education for Justice</w:t>
      </w:r>
      <w:r>
        <w:rPr>
          <w:rFonts w:ascii="Noto Naskh Arabic" w:hAnsi="Noto Naskh Arabic" w:eastAsia="Noto Naskh Arabic" w:cs="Noto Naskh Arabic"/>
          <w:b w:val="0"/>
          <w:color w:val="000000"/>
          <w:sz w:val="23"/>
          <w:i w:val="0"/>
          <w:iCs w:val="0"/>
          <w:szCs w:val="23"/>
          <w:lang w:val="fa-IR" w:bidi="fa-IR"/>
          <w:rtl w:val="1"/>
        </w:rPr>
        <w:t>، پودمان ۴. توضیح مادهٔ ۹ کنوانسیون مبارزه با فساد و پاسخ‌گویی مالی عمومی.</w:t>
      </w:r>
      <w:r>
        <w:rPr>
          <w:rFonts w:ascii="Noto Naskh Arabic" w:hAnsi="Noto Naskh Arabic" w:eastAsia="Noto Naskh Arabic" w:cs="Noto Naskh Arabic"/>
          <w:b w:val="0"/>
          <w:color w:val="000000"/>
          <w:sz w:val="23"/>
          <w:i w:val="0"/>
          <w:iCs w:val="0"/>
          <w:szCs w:val="23"/>
          <w:lang w:val="fa-IR" w:bidi="fa-IR"/>
          <w:rtl w:val="1"/>
        </w:rPr>
        <w:t xml:space="preserve"> </w:t>
      </w:r>
      <w:hyperlink r:id="rId15">
        <w:r>
          <w:rPr>
            <w:i w:val="0"/>
            <w:iCs w:val="0"/>
            <w:rFonts w:ascii="Noto Naskh Arabic" w:hAnsi="Noto Naskh Arabic" w:eastAsia="Noto Naskh Arabic" w:cs="Noto Naskh Arabic"/>
            <w:sz w:val="23"/>
            <w:szCs w:val="23"/>
            <w:lang w:val="fa-IR" w:bidi="fa-IR"/>
            <w:rtl w:val="1"/>
            <w:color w:val="145D4D"/>
            <w:u w:val="single"/>
          </w:rPr>
          <w:t>پیوند منبع</w:t>
        </w:r>
      </w:hyperlink>
    </w:p>
    <w:p>
      <w:pPr>
        <w:pStyle w:val="PersianBibliography"/>
        <w:keepLines/>
        <w:bidi w:val="1"/>
        <w:ind w:firstLine="0"/>
        <w:jc w:val="start"/>
      </w:pPr>
      <w:r>
        <w:rPr>
          <w:rFonts w:ascii="Noto Naskh Arabic" w:hAnsi="Noto Naskh Arabic" w:eastAsia="Noto Naskh Arabic" w:cs="Noto Naskh Arabic"/>
          <w:b/>
          <w:color w:val="000000"/>
          <w:sz w:val="23"/>
          <w:i w:val="0"/>
          <w:iCs w:val="0"/>
          <w:szCs w:val="23"/>
          <w:lang w:val="fa-IR" w:bidi="fa-IR"/>
          <w:rtl w:val="1"/>
          <w:b w:val="1"/>
          <w:bCs w:val="1"/>
        </w:rPr>
        <w:t xml:space="preserve">۸. </w:t>
      </w:r>
      <w:r>
        <w:rPr>
          <w:rFonts w:ascii="Liberation Serif" w:hAnsi="Liberation Serif" w:eastAsia="Liberation Serif" w:cs="Liberation Serif"/>
          <w:b w:val="0"/>
          <w:color w:val="000000"/>
          <w:sz w:val="23"/>
          <w:i w:val="0"/>
          <w:iCs w:val="0"/>
          <w:szCs w:val="23"/>
          <w:lang w:val="en-GB" w:bidi="fa-IR"/>
          <w:rtl w:val="0"/>
        </w:rPr>
        <w:t xml:space="preserve">Royal Household. Financial Reports 2024-25. </w:t>
      </w:r>
      <w:r>
        <w:rPr>
          <w:rFonts w:ascii="Noto Naskh Arabic" w:hAnsi="Noto Naskh Arabic" w:eastAsia="Noto Naskh Arabic" w:cs="Noto Naskh Arabic"/>
          <w:b w:val="0"/>
          <w:color w:val="000000"/>
          <w:sz w:val="23"/>
          <w:i w:val="0"/>
          <w:iCs w:val="0"/>
          <w:szCs w:val="23"/>
          <w:lang w:val="fa-IR" w:bidi="fa-IR"/>
          <w:rtl w:val="1"/>
        </w:rPr>
        <w:t xml:space="preserve">گزارش وظایف رسمی و بودجهٔ </w:t>
      </w:r>
      <w:r>
        <w:rPr>
          <w:rFonts w:ascii="Liberation Serif" w:hAnsi="Liberation Serif" w:eastAsia="Liberation Serif" w:cs="Liberation Serif"/>
          <w:b w:val="0"/>
          <w:color w:val="000000"/>
          <w:sz w:val="23"/>
          <w:i w:val="0"/>
          <w:iCs w:val="0"/>
          <w:szCs w:val="23"/>
          <w:lang w:val="en-GB" w:bidi="fa-IR"/>
          <w:rtl w:val="0"/>
        </w:rPr>
        <w:t>Sovereign Grant</w:t>
      </w:r>
      <w:r>
        <w:rPr>
          <w:rFonts w:ascii="Noto Naskh Arabic" w:hAnsi="Noto Naskh Arabic" w:eastAsia="Noto Naskh Arabic" w:cs="Noto Naskh Arabic"/>
          <w:b w:val="0"/>
          <w:color w:val="000000"/>
          <w:sz w:val="23"/>
          <w:i w:val="0"/>
          <w:iCs w:val="0"/>
          <w:szCs w:val="23"/>
          <w:lang w:val="fa-IR" w:bidi="fa-IR"/>
          <w:rtl w:val="1"/>
        </w:rPr>
        <w:t>، منتشرشده در ۳۰ ژوئن ۲۰۲۵. نمونهٔ مقایسه‌ای گزارش‌دهی مالی.</w:t>
      </w:r>
      <w:r>
        <w:rPr>
          <w:rFonts w:ascii="Noto Naskh Arabic" w:hAnsi="Noto Naskh Arabic" w:eastAsia="Noto Naskh Arabic" w:cs="Noto Naskh Arabic"/>
          <w:b w:val="0"/>
          <w:color w:val="000000"/>
          <w:sz w:val="23"/>
          <w:i w:val="0"/>
          <w:iCs w:val="0"/>
          <w:szCs w:val="23"/>
          <w:lang w:val="fa-IR" w:bidi="fa-IR"/>
          <w:rtl w:val="1"/>
        </w:rPr>
        <w:t xml:space="preserve"> </w:t>
      </w:r>
      <w:hyperlink r:id="rId16">
        <w:r>
          <w:rPr>
            <w:i w:val="0"/>
            <w:iCs w:val="0"/>
            <w:rFonts w:ascii="Noto Naskh Arabic" w:hAnsi="Noto Naskh Arabic" w:eastAsia="Noto Naskh Arabic" w:cs="Noto Naskh Arabic"/>
            <w:sz w:val="23"/>
            <w:szCs w:val="23"/>
            <w:lang w:val="fa-IR" w:bidi="fa-IR"/>
            <w:rtl w:val="1"/>
            <w:color w:val="145D4D"/>
            <w:u w:val="single"/>
          </w:rPr>
          <w:t>پیوند منبع</w:t>
        </w:r>
      </w:hyperlink>
    </w:p>
    <w:p>
      <w:pPr>
        <w:pStyle w:val="PersianBibliography"/>
        <w:keepLines/>
        <w:bidi w:val="1"/>
        <w:ind w:firstLine="0"/>
        <w:jc w:val="start"/>
      </w:pPr>
      <w:r>
        <w:rPr>
          <w:rFonts w:ascii="Noto Naskh Arabic" w:hAnsi="Noto Naskh Arabic" w:eastAsia="Noto Naskh Arabic" w:cs="Noto Naskh Arabic"/>
          <w:b/>
          <w:color w:val="000000"/>
          <w:sz w:val="23"/>
          <w:i w:val="0"/>
          <w:iCs w:val="0"/>
          <w:szCs w:val="23"/>
          <w:lang w:val="fa-IR" w:bidi="fa-IR"/>
          <w:rtl w:val="1"/>
          <w:b w:val="1"/>
          <w:bCs w:val="1"/>
        </w:rPr>
        <w:t xml:space="preserve">۹. </w:t>
      </w:r>
      <w:r>
        <w:rPr>
          <w:rFonts w:ascii="Noto Naskh Arabic" w:hAnsi="Noto Naskh Arabic" w:eastAsia="Noto Naskh Arabic" w:cs="Noto Naskh Arabic"/>
          <w:b w:val="0"/>
          <w:color w:val="000000"/>
          <w:sz w:val="23"/>
          <w:i w:val="0"/>
          <w:iCs w:val="0"/>
          <w:szCs w:val="23"/>
          <w:lang w:val="fa-IR" w:bidi="fa-IR"/>
          <w:rtl w:val="1"/>
        </w:rPr>
        <w:t xml:space="preserve">سازمان همکاری و توسعهٔ اقتصادی. </w:t>
      </w:r>
      <w:r>
        <w:rPr>
          <w:rFonts w:ascii="Liberation Serif" w:hAnsi="Liberation Serif" w:eastAsia="Liberation Serif" w:cs="Liberation Serif"/>
          <w:b w:val="0"/>
          <w:color w:val="000000"/>
          <w:sz w:val="23"/>
          <w:i w:val="0"/>
          <w:iCs w:val="0"/>
          <w:szCs w:val="23"/>
          <w:lang w:val="en-GB" w:bidi="fa-IR"/>
          <w:rtl w:val="0"/>
        </w:rPr>
        <w:t>OECD Guidelines for Citizen Participation Processes. OECD Public Governance Reviews</w:t>
      </w:r>
      <w:r>
        <w:rPr>
          <w:rFonts w:ascii="Noto Naskh Arabic" w:hAnsi="Noto Naskh Arabic" w:eastAsia="Noto Naskh Arabic" w:cs="Noto Naskh Arabic"/>
          <w:b w:val="0"/>
          <w:color w:val="000000"/>
          <w:sz w:val="23"/>
          <w:i w:val="0"/>
          <w:iCs w:val="0"/>
          <w:szCs w:val="23"/>
          <w:lang w:val="fa-IR" w:bidi="fa-IR"/>
          <w:rtl w:val="1"/>
        </w:rPr>
        <w:t xml:space="preserve">، پاریس، ۲۰۲۲. شناسۀ </w:t>
      </w:r>
      <w:r>
        <w:rPr>
          <w:rFonts w:ascii="Liberation Serif" w:hAnsi="Liberation Serif" w:eastAsia="Liberation Serif" w:cs="Liberation Serif"/>
          <w:b w:val="0"/>
          <w:color w:val="000000"/>
          <w:sz w:val="23"/>
          <w:i w:val="0"/>
          <w:iCs w:val="0"/>
          <w:szCs w:val="23"/>
          <w:lang w:val="en-GB" w:bidi="fa-IR"/>
          <w:rtl w:val="0"/>
        </w:rPr>
        <w:t>DOI: 10.1787/f765caf6-en.</w:t>
      </w:r>
      <w:r>
        <w:rPr>
          <w:rFonts w:ascii="Noto Naskh Arabic" w:hAnsi="Noto Naskh Arabic" w:eastAsia="Noto Naskh Arabic" w:cs="Noto Naskh Arabic"/>
          <w:b w:val="0"/>
          <w:color w:val="000000"/>
          <w:sz w:val="23"/>
          <w:i w:val="0"/>
          <w:iCs w:val="0"/>
          <w:szCs w:val="23"/>
          <w:lang w:val="fa-IR" w:bidi="fa-IR"/>
          <w:rtl w:val="1"/>
        </w:rPr>
        <w:t xml:space="preserve"> </w:t>
      </w:r>
      <w:hyperlink r:id="rId17">
        <w:r>
          <w:rPr>
            <w:i w:val="0"/>
            <w:iCs w:val="0"/>
            <w:rFonts w:ascii="Noto Naskh Arabic" w:hAnsi="Noto Naskh Arabic" w:eastAsia="Noto Naskh Arabic" w:cs="Noto Naskh Arabic"/>
            <w:sz w:val="23"/>
            <w:szCs w:val="23"/>
            <w:lang w:val="fa-IR" w:bidi="fa-IR"/>
            <w:rtl w:val="1"/>
            <w:color w:val="145D4D"/>
            <w:u w:val="single"/>
          </w:rPr>
          <w:t>پیوند منبع</w:t>
        </w:r>
      </w:hyperlink>
    </w:p>
    <w:p>
      <w:pPr>
        <w:pStyle w:val="PersianBibliography"/>
        <w:keepLines/>
        <w:bidi w:val="1"/>
        <w:ind w:firstLine="0"/>
        <w:jc w:val="start"/>
      </w:pPr>
      <w:r>
        <w:rPr>
          <w:rFonts w:ascii="Noto Naskh Arabic" w:hAnsi="Noto Naskh Arabic" w:eastAsia="Noto Naskh Arabic" w:cs="Noto Naskh Arabic"/>
          <w:b/>
          <w:color w:val="000000"/>
          <w:sz w:val="23"/>
          <w:i w:val="0"/>
          <w:iCs w:val="0"/>
          <w:szCs w:val="23"/>
          <w:lang w:val="fa-IR" w:bidi="fa-IR"/>
          <w:rtl w:val="1"/>
          <w:b w:val="1"/>
          <w:bCs w:val="1"/>
        </w:rPr>
        <w:t xml:space="preserve">۱۰. </w:t>
      </w:r>
      <w:r>
        <w:rPr>
          <w:rFonts w:ascii="Noto Naskh Arabic" w:hAnsi="Noto Naskh Arabic" w:eastAsia="Noto Naskh Arabic" w:cs="Noto Naskh Arabic"/>
          <w:b w:val="0"/>
          <w:color w:val="000000"/>
          <w:sz w:val="23"/>
          <w:i w:val="0"/>
          <w:iCs w:val="0"/>
          <w:szCs w:val="23"/>
          <w:lang w:val="fa-IR" w:bidi="fa-IR"/>
          <w:rtl w:val="1"/>
        </w:rPr>
        <w:t xml:space="preserve">شورای اروپا، کمیتهٔ وزیران. </w:t>
      </w:r>
      <w:r>
        <w:rPr>
          <w:rFonts w:ascii="Liberation Serif" w:hAnsi="Liberation Serif" w:eastAsia="Liberation Serif" w:cs="Liberation Serif"/>
          <w:b w:val="0"/>
          <w:color w:val="000000"/>
          <w:sz w:val="23"/>
          <w:i w:val="0"/>
          <w:iCs w:val="0"/>
          <w:szCs w:val="23"/>
          <w:lang w:val="en-GB" w:bidi="fa-IR"/>
          <w:rtl w:val="0"/>
        </w:rPr>
        <w:t xml:space="preserve">Recommendation CM/Rec(2017)5 on Standards for E-voting. </w:t>
      </w:r>
      <w:r>
        <w:rPr>
          <w:rFonts w:ascii="Noto Naskh Arabic" w:hAnsi="Noto Naskh Arabic" w:eastAsia="Noto Naskh Arabic" w:cs="Noto Naskh Arabic"/>
          <w:b w:val="0"/>
          <w:color w:val="000000"/>
          <w:sz w:val="23"/>
          <w:i w:val="0"/>
          <w:iCs w:val="0"/>
          <w:szCs w:val="23"/>
          <w:lang w:val="fa-IR" w:bidi="fa-IR"/>
          <w:rtl w:val="1"/>
        </w:rPr>
        <w:t>مصوب ۱۴ ژوئن ۲۰۱۷، همراه با پیوست استانداردها.</w:t>
      </w:r>
      <w:r>
        <w:rPr>
          <w:rFonts w:ascii="Noto Naskh Arabic" w:hAnsi="Noto Naskh Arabic" w:eastAsia="Noto Naskh Arabic" w:cs="Noto Naskh Arabic"/>
          <w:b w:val="0"/>
          <w:color w:val="000000"/>
          <w:sz w:val="23"/>
          <w:i w:val="0"/>
          <w:iCs w:val="0"/>
          <w:szCs w:val="23"/>
          <w:lang w:val="fa-IR" w:bidi="fa-IR"/>
          <w:rtl w:val="1"/>
        </w:rPr>
        <w:t xml:space="preserve"> </w:t>
      </w:r>
      <w:hyperlink r:id="rId18">
        <w:r>
          <w:rPr>
            <w:i w:val="0"/>
            <w:iCs w:val="0"/>
            <w:rFonts w:ascii="Noto Naskh Arabic" w:hAnsi="Noto Naskh Arabic" w:eastAsia="Noto Naskh Arabic" w:cs="Noto Naskh Arabic"/>
            <w:sz w:val="23"/>
            <w:szCs w:val="23"/>
            <w:lang w:val="fa-IR" w:bidi="fa-IR"/>
            <w:rtl w:val="1"/>
            <w:color w:val="145D4D"/>
            <w:u w:val="single"/>
          </w:rPr>
          <w:t>پیوند منبع</w:t>
        </w:r>
      </w:hyperlink>
    </w:p>
    <w:p>
      <w:pPr>
        <w:pStyle w:val="PersianBibliography"/>
        <w:keepLines/>
        <w:bidi w:val="1"/>
        <w:ind w:firstLine="0"/>
        <w:jc w:val="start"/>
      </w:pPr>
      <w:r>
        <w:rPr>
          <w:rFonts w:ascii="Noto Naskh Arabic" w:hAnsi="Noto Naskh Arabic" w:eastAsia="Noto Naskh Arabic" w:cs="Noto Naskh Arabic"/>
          <w:b/>
          <w:color w:val="000000"/>
          <w:sz w:val="23"/>
          <w:i w:val="0"/>
          <w:iCs w:val="0"/>
          <w:szCs w:val="23"/>
          <w:lang w:val="fa-IR" w:bidi="fa-IR"/>
          <w:rtl w:val="1"/>
          <w:b w:val="1"/>
          <w:bCs w:val="1"/>
        </w:rPr>
        <w:t xml:space="preserve">۱۱. </w:t>
      </w:r>
      <w:r>
        <w:rPr>
          <w:rFonts w:ascii="Noto Naskh Arabic" w:hAnsi="Noto Naskh Arabic" w:eastAsia="Noto Naskh Arabic" w:cs="Noto Naskh Arabic"/>
          <w:b w:val="0"/>
          <w:color w:val="000000"/>
          <w:sz w:val="23"/>
          <w:i w:val="0"/>
          <w:iCs w:val="0"/>
          <w:szCs w:val="23"/>
          <w:lang w:val="fa-IR" w:bidi="fa-IR"/>
          <w:rtl w:val="1"/>
        </w:rPr>
        <w:t xml:space="preserve">کارزار ایران را پس می‌گیریم. </w:t>
      </w:r>
      <w:r>
        <w:rPr>
          <w:rFonts w:ascii="Liberation Serif" w:hAnsi="Liberation Serif" w:eastAsia="Liberation Serif" w:cs="Liberation Serif"/>
          <w:b w:val="0"/>
          <w:color w:val="000000"/>
          <w:sz w:val="23"/>
          <w:i w:val="0"/>
          <w:iCs w:val="0"/>
          <w:szCs w:val="23"/>
          <w:lang w:val="en-GB" w:bidi="fa-IR"/>
          <w:rtl w:val="0"/>
        </w:rPr>
        <w:t>Iran Prosperity Project</w:t>
      </w:r>
      <w:r>
        <w:rPr>
          <w:rFonts w:ascii="Noto Naskh Arabic" w:hAnsi="Noto Naskh Arabic" w:eastAsia="Noto Naskh Arabic" w:cs="Noto Naskh Arabic"/>
          <w:b w:val="0"/>
          <w:color w:val="000000"/>
          <w:sz w:val="23"/>
          <w:i w:val="0"/>
          <w:iCs w:val="0"/>
          <w:szCs w:val="23"/>
          <w:lang w:val="fa-IR" w:bidi="fa-IR"/>
          <w:rtl w:val="1"/>
        </w:rPr>
        <w:t>، صفحهٔ رسمی معرفی نسخهٔ مارس ۲۰۲۶ و مرحلهٔ اضطراری ۱۸۰روزه. بررسی در ۱۳ اکتبر ۲۰۲۶.</w:t>
      </w:r>
      <w:r>
        <w:rPr>
          <w:rFonts w:ascii="Noto Naskh Arabic" w:hAnsi="Noto Naskh Arabic" w:eastAsia="Noto Naskh Arabic" w:cs="Noto Naskh Arabic"/>
          <w:b w:val="0"/>
          <w:color w:val="000000"/>
          <w:sz w:val="23"/>
          <w:i w:val="0"/>
          <w:iCs w:val="0"/>
          <w:szCs w:val="23"/>
          <w:lang w:val="fa-IR" w:bidi="fa-IR"/>
          <w:rtl w:val="1"/>
        </w:rPr>
        <w:t xml:space="preserve"> </w:t>
      </w:r>
      <w:hyperlink r:id="rId19">
        <w:r>
          <w:rPr>
            <w:i w:val="0"/>
            <w:iCs w:val="0"/>
            <w:rFonts w:ascii="Noto Naskh Arabic" w:hAnsi="Noto Naskh Arabic" w:eastAsia="Noto Naskh Arabic" w:cs="Noto Naskh Arabic"/>
            <w:sz w:val="23"/>
            <w:szCs w:val="23"/>
            <w:lang w:val="fa-IR" w:bidi="fa-IR"/>
            <w:rtl w:val="1"/>
            <w:color w:val="145D4D"/>
            <w:u w:val="single"/>
          </w:rPr>
          <w:t>پیوند منبع</w:t>
        </w:r>
      </w:hyperlink>
    </w:p>
    <w:p>
      <w:pPr>
        <w:pStyle w:val="PersianBibliography"/>
        <w:keepLines/>
        <w:bidi w:val="1"/>
        <w:ind w:firstLine="0"/>
        <w:jc w:val="start"/>
      </w:pPr>
      <w:r>
        <w:rPr>
          <w:rFonts w:ascii="Noto Naskh Arabic" w:hAnsi="Noto Naskh Arabic" w:eastAsia="Noto Naskh Arabic" w:cs="Noto Naskh Arabic"/>
          <w:b/>
          <w:color w:val="000000"/>
          <w:sz w:val="23"/>
          <w:i w:val="0"/>
          <w:iCs w:val="0"/>
          <w:szCs w:val="23"/>
          <w:lang w:val="fa-IR" w:bidi="fa-IR"/>
          <w:rtl w:val="1"/>
          <w:b w:val="1"/>
          <w:bCs w:val="1"/>
        </w:rPr>
        <w:t xml:space="preserve">۱۲. </w:t>
      </w:r>
      <w:r>
        <w:rPr>
          <w:rFonts w:ascii="Noto Naskh Arabic" w:hAnsi="Noto Naskh Arabic" w:eastAsia="Noto Naskh Arabic" w:cs="Noto Naskh Arabic"/>
          <w:b w:val="0"/>
          <w:color w:val="000000"/>
          <w:sz w:val="23"/>
          <w:i w:val="0"/>
          <w:iCs w:val="0"/>
          <w:szCs w:val="23"/>
          <w:lang w:val="fa-IR" w:bidi="fa-IR"/>
          <w:rtl w:val="1"/>
        </w:rPr>
        <w:t xml:space="preserve">بخشایش، پیمان. </w:t>
      </w:r>
      <w:r>
        <w:rPr>
          <w:rFonts w:ascii="Liberation Serif" w:hAnsi="Liberation Serif" w:eastAsia="Liberation Serif" w:cs="Liberation Serif"/>
          <w:b w:val="0"/>
          <w:color w:val="000000"/>
          <w:sz w:val="23"/>
          <w:i w:val="0"/>
          <w:iCs w:val="0"/>
          <w:szCs w:val="23"/>
          <w:lang w:val="en-GB" w:bidi="fa-IR"/>
          <w:rtl w:val="0"/>
        </w:rPr>
        <w:t>A Political Framework as Broad as Iran</w:t>
      </w:r>
      <w:r>
        <w:rPr>
          <w:rFonts w:ascii="Noto Naskh Arabic" w:hAnsi="Noto Naskh Arabic" w:eastAsia="Noto Naskh Arabic" w:cs="Noto Naskh Arabic"/>
          <w:b w:val="0"/>
          <w:color w:val="000000"/>
          <w:sz w:val="23"/>
          <w:i w:val="0"/>
          <w:iCs w:val="0"/>
          <w:szCs w:val="23"/>
          <w:lang w:val="fa-IR" w:bidi="fa-IR"/>
          <w:rtl w:val="1"/>
        </w:rPr>
        <w:t>’</w:t>
      </w:r>
      <w:r>
        <w:rPr>
          <w:rFonts w:ascii="Liberation Serif" w:hAnsi="Liberation Serif" w:eastAsia="Liberation Serif" w:cs="Liberation Serif"/>
          <w:b w:val="0"/>
          <w:color w:val="000000"/>
          <w:sz w:val="23"/>
          <w:i w:val="0"/>
          <w:iCs w:val="0"/>
          <w:szCs w:val="23"/>
          <w:lang w:val="en-GB" w:bidi="fa-IR"/>
          <w:rtl w:val="0"/>
        </w:rPr>
        <w:t xml:space="preserve">s Political History. </w:t>
      </w:r>
      <w:r>
        <w:rPr>
          <w:rFonts w:ascii="Noto Naskh Arabic" w:hAnsi="Noto Naskh Arabic" w:eastAsia="Noto Naskh Arabic" w:cs="Noto Naskh Arabic"/>
          <w:b w:val="0"/>
          <w:color w:val="000000"/>
          <w:sz w:val="23"/>
          <w:i w:val="0"/>
          <w:iCs w:val="0"/>
          <w:szCs w:val="23"/>
          <w:lang w:val="fa-IR" w:bidi="fa-IR"/>
          <w:rtl w:val="1"/>
        </w:rPr>
        <w:t>نسخهٔ بازبینی‌شده در ۸ اکتبر ۲۰۲۶. ارجاع برای تداوم دیدگاه نویسنده دربارهٔ پهلویسم آینده‌گرا و رقابت پارلمانی.</w:t>
      </w:r>
      <w:r>
        <w:rPr>
          <w:rFonts w:ascii="Noto Naskh Arabic" w:hAnsi="Noto Naskh Arabic" w:eastAsia="Noto Naskh Arabic" w:cs="Noto Naskh Arabic"/>
          <w:b w:val="0"/>
          <w:color w:val="000000"/>
          <w:sz w:val="23"/>
          <w:i w:val="0"/>
          <w:iCs w:val="0"/>
          <w:szCs w:val="23"/>
          <w:lang w:val="fa-IR" w:bidi="fa-IR"/>
          <w:rtl w:val="1"/>
        </w:rPr>
        <w:t xml:space="preserve"> </w:t>
      </w:r>
      <w:hyperlink r:id="rId20">
        <w:r>
          <w:rPr>
            <w:i w:val="0"/>
            <w:iCs w:val="0"/>
            <w:rFonts w:ascii="Noto Naskh Arabic" w:hAnsi="Noto Naskh Arabic" w:eastAsia="Noto Naskh Arabic" w:cs="Noto Naskh Arabic"/>
            <w:sz w:val="23"/>
            <w:szCs w:val="23"/>
            <w:lang w:val="fa-IR" w:bidi="fa-IR"/>
            <w:rtl w:val="1"/>
            <w:color w:val="145D4D"/>
            <w:u w:val="single"/>
          </w:rPr>
          <w:t>پیوند منبع</w:t>
        </w:r>
      </w:hyperlink>
    </w:p>
    <w:sectPr w:rsidR="00FC693F" w:rsidRPr="0006063C" w:rsidSect="00034616">
      <w:footerReference w:type="default" r:id="rId21"/>
      <w:pgSz w:w="12240" w:h="15840"/>
      <w:pgMar w:top="1134" w:right="1134" w:bottom="1134"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Naskh Arabic" w:hAnsi="Noto Naskh Arabic" w:eastAsia="Noto Naskh Arabic" w:cs="Noto Naskh Arabic"/>
        <w:b w:val="0"/>
        <w:color w:val="000000"/>
        <w:sz w:val="20"/>
        <w:i w:val="0"/>
        <w:iCs w:val="0"/>
        <w:szCs w:val="20"/>
        <w:lang w:val="fa-IR" w:bidi="fa-IR"/>
        <w:rtl w:val="1"/>
      </w:rPr>
      <w:t xml:space="preserve">صفحهٔ </w:t>
    </w:r>
    <w:r>
      <w:rPr>
        <w:i w:val="0"/>
        <w:iCs w:val="0"/>
        <w:rFonts w:ascii="Noto Naskh Arabic" w:hAnsi="Noto Naskh Arabic" w:eastAsia="Noto Naskh Arabic" w:cs="Noto Naskh Arabic"/>
        <w:sz w:val="20"/>
        <w:szCs w:val="20"/>
        <w:lang w:val="fa-IR" w:bidi="fa-IR"/>
        <w:rtl w:val="1"/>
      </w:rPr>
      <w:fldChar w:fldCharType="begin"/>
      <w:instrText>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00" w:lineRule="auto" w:after="120"/>
      <w:ind w:firstLine="340"/>
    </w:pPr>
    <w:rPr>
      <w:rFonts w:ascii="Noto Naskh Arabic" w:hAnsi="Noto Naskh Arabic" w:eastAsia="Noto Naskh Arabic" w:cs="Noto Naskh Arabic"/>
      <w:b w:val="0"/>
      <w:i w:val="0"/>
      <w:color w:val="000000"/>
      <w:sz w:val="26"/>
      <w:i w:val="0"/>
      <w:iCs w:val="0"/>
      <w:szCs w:val="26"/>
      <w:lang w:val="fa-IR" w:bidi="fa-IR"/>
      <w:rtl w:val="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i w:val="0"/>
    </w:rPr>
  </w:style>
  <w:style w:type="character" w:customStyle="1" w:styleId="HeaderChar">
    <w:name w:val="Header Char"/>
    <w:basedOn w:val="DefaultParagraphFont"/>
    <w:link w:val="Header"/>
    <w:uiPriority w:val="99"/>
    <w:rsid w:val="00E618BF"/>
    <w:rPr>
      <w:i w:val="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i w:val="0"/>
    </w:rPr>
  </w:style>
  <w:style w:type="character" w:customStyle="1" w:styleId="FooterChar">
    <w:name w:val="Footer Char"/>
    <w:basedOn w:val="DefaultParagraphFont"/>
    <w:link w:val="Footer"/>
    <w:uiPriority w:val="99"/>
    <w:rsid w:val="00E618BF"/>
    <w:rPr>
      <w:i w:val="0"/>
    </w:rPr>
  </w:style>
  <w:style w:type="paragraph" w:styleId="Heading1">
    <w:name w:val="heading 1"/>
    <w:basedOn w:val="Normal"/>
    <w:next w:val="Normal"/>
    <w:link w:val="Heading1Char"/>
    <w:uiPriority w:val="9"/>
    <w:qFormat/>
    <w:rsid w:val="00FC693F"/>
    <w:pPr>
      <w:keepNext/>
      <w:keepLines/>
      <w:widowControl/>
      <w:spacing w:before="280" w:after="120" w:line="300" w:lineRule="auto"/>
      <w:outlineLvl w:val="0"/>
    </w:pPr>
    <w:rPr>
      <w:rFonts w:asciiTheme="majorHAnsi" w:eastAsiaTheme="majorEastAsia" w:hAnsiTheme="majorHAnsi" w:cstheme="majorBidi" w:ascii="Noto Kufi Arabic" w:hAnsi="Noto Kufi Arabic" w:eastAsia="Noto Kufi Arabic" w:cs="Noto Kufi Arabic"/>
      <w:b/>
      <w:bCs/>
      <w:i w:val="0"/>
      <w:color w:val="000000"/>
      <w:sz w:val="32"/>
      <w:szCs w:val="32"/>
      <w:i w:val="0"/>
      <w:iCs w:val="0"/>
      <w:lang w:val="fa-IR" w:bidi="fa-IR"/>
      <w:rtl w:val="1"/>
      <w:b w:val="1"/>
      <w:bCs w:val="1"/>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i w:val="0"/>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i w:val="0"/>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val="0"/>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i w:val="0"/>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val="0"/>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val="0"/>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i w:val="0"/>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val="0"/>
      <w:iCs/>
      <w:color w:val="404040" w:themeColor="text1" w:themeTint="BF"/>
      <w:sz w:val="20"/>
      <w:szCs w:val="20"/>
    </w:rPr>
  </w:style>
  <w:style w:type="character" w:default="1" w:styleId="DefaultParagraphFont">
    <w:name w:val="Default Paragraph Font"/>
    <w:uiPriority w:val="1"/>
    <w:semiHidden/>
    <w:unhideWhenUsed/>
    <w:rPr>
      <w:i w:val="0"/>
    </w:rPr>
  </w:style>
  <w:style w:type="table" w:default="1" w:styleId="TableNormal">
    <w:name w:val="Normal Table"/>
    <w:uiPriority w:val="99"/>
    <w:semiHidden/>
    <w:unhideWhenUsed/>
    <w:rPr>
      <w:i w:val="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i w:val="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i w:val="0"/>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i w:val="0"/>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i w:val="0"/>
      <w:color w:val="4F81BD" w:themeColor="accent1"/>
    </w:rPr>
  </w:style>
  <w:style w:type="paragraph" w:styleId="Title">
    <w:name w:val="Title"/>
    <w:basedOn w:val="Normal"/>
    <w:next w:val="Normal"/>
    <w:link w:val="TitleChar"/>
    <w:uiPriority w:val="10"/>
    <w:qFormat/>
    <w:rsid w:val="00FC693F"/>
    <w:pPr>
      <w:widowControl/>
      <w:spacing w:after="120" w:line="300" w:lineRule="auto"/>
      <w:contextualSpacing/>
    </w:pPr>
    <w:rPr>
      <w:rFonts w:asciiTheme="majorHAnsi" w:eastAsiaTheme="majorEastAsia" w:hAnsiTheme="majorHAnsi" w:cstheme="majorBidi" w:ascii="Noto Kufi Arabic" w:hAnsi="Noto Kufi Arabic" w:eastAsia="Noto Kufi Arabic" w:cs="Noto Kufi Arabic"/>
      <w:b/>
      <w:i w:val="0"/>
      <w:color w:val="000000"/>
      <w:spacing w:val="5"/>
      <w:kern w:val="28"/>
      <w:sz w:val="48"/>
      <w:szCs w:val="48"/>
      <w:i w:val="0"/>
      <w:iCs w:val="0"/>
      <w:lang w:val="fa-IR" w:bidi="fa-IR"/>
      <w:rtl w:val="1"/>
      <w:b w:val="1"/>
      <w:bCs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i w:val="0"/>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line="300" w:lineRule="auto" w:after="120"/>
    </w:pPr>
    <w:rPr>
      <w:rFonts w:asciiTheme="majorHAnsi" w:eastAsiaTheme="majorEastAsia" w:hAnsiTheme="majorHAnsi" w:cstheme="majorBidi" w:ascii="Noto Naskh Arabic" w:hAnsi="Noto Naskh Arabic" w:eastAsia="Noto Naskh Arabic" w:cs="Noto Naskh Arabic"/>
      <w:b w:val="0"/>
      <w:i w:val="0"/>
      <w:iCs/>
      <w:color w:val="000000"/>
      <w:spacing w:val="15"/>
      <w:sz w:val="30"/>
      <w:szCs w:val="30"/>
      <w:i w:val="0"/>
      <w:iCs w:val="0"/>
      <w:lang w:val="fa-IR" w:bidi="fa-IR"/>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val="0"/>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i w:val="0"/>
    </w:rPr>
  </w:style>
  <w:style w:type="paragraph" w:styleId="BodyText">
    <w:name w:val="Body Text"/>
    <w:basedOn w:val="Normal"/>
    <w:link w:val="BodyTextChar"/>
    <w:uiPriority w:val="99"/>
    <w:unhideWhenUsed/>
    <w:rsid w:val="00AA1D8D"/>
    <w:pPr>
      <w:spacing w:after="120"/>
    </w:pPr>
    <w:rPr>
      <w:i w:val="0"/>
    </w:rPr>
  </w:style>
  <w:style w:type="character" w:customStyle="1" w:styleId="BodyTextChar">
    <w:name w:val="Body Text Char"/>
    <w:basedOn w:val="DefaultParagraphFont"/>
    <w:link w:val="BodyText"/>
    <w:uiPriority w:val="99"/>
    <w:rsid w:val="00AA1D8D"/>
    <w:rPr>
      <w:i w:val="0"/>
    </w:rPr>
  </w:style>
  <w:style w:type="paragraph" w:styleId="BodyText2">
    <w:name w:val="Body Text 2"/>
    <w:basedOn w:val="Normal"/>
    <w:link w:val="BodyText2Char"/>
    <w:uiPriority w:val="99"/>
    <w:unhideWhenUsed/>
    <w:rsid w:val="00AA1D8D"/>
    <w:pPr>
      <w:spacing w:after="120" w:line="480" w:lineRule="auto"/>
    </w:pPr>
    <w:rPr>
      <w:i w:val="0"/>
    </w:rPr>
  </w:style>
  <w:style w:type="character" w:customStyle="1" w:styleId="BodyText2Char">
    <w:name w:val="Body Text 2 Char"/>
    <w:basedOn w:val="DefaultParagraphFont"/>
    <w:link w:val="BodyText2"/>
    <w:uiPriority w:val="99"/>
    <w:rsid w:val="00AA1D8D"/>
    <w:rPr>
      <w:i w:val="0"/>
    </w:rPr>
  </w:style>
  <w:style w:type="paragraph" w:styleId="BodyText3">
    <w:name w:val="Body Text 3"/>
    <w:basedOn w:val="Normal"/>
    <w:link w:val="BodyText3Char"/>
    <w:uiPriority w:val="99"/>
    <w:unhideWhenUsed/>
    <w:rsid w:val="00AA1D8D"/>
    <w:pPr>
      <w:spacing w:after="120"/>
    </w:pPr>
    <w:rPr>
      <w:i w:val="0"/>
      <w:sz w:val="16"/>
      <w:szCs w:val="16"/>
    </w:rPr>
  </w:style>
  <w:style w:type="character" w:customStyle="1" w:styleId="BodyText3Char">
    <w:name w:val="Body Text 3 Char"/>
    <w:basedOn w:val="DefaultParagraphFont"/>
    <w:link w:val="BodyText3"/>
    <w:uiPriority w:val="99"/>
    <w:rsid w:val="00AA1D8D"/>
    <w:rPr>
      <w:i w:val="0"/>
      <w:sz w:val="16"/>
      <w:szCs w:val="16"/>
    </w:rPr>
  </w:style>
  <w:style w:type="paragraph" w:styleId="List">
    <w:name w:val="List"/>
    <w:basedOn w:val="Normal"/>
    <w:uiPriority w:val="99"/>
    <w:unhideWhenUsed/>
    <w:rsid w:val="00AA1D8D"/>
    <w:pPr>
      <w:ind w:left="360" w:hanging="360"/>
      <w:contextualSpacing/>
    </w:pPr>
    <w:rPr>
      <w:i w:val="0"/>
    </w:rPr>
  </w:style>
  <w:style w:type="paragraph" w:styleId="List2">
    <w:name w:val="List 2"/>
    <w:basedOn w:val="Normal"/>
    <w:uiPriority w:val="99"/>
    <w:unhideWhenUsed/>
    <w:rsid w:val="00326F90"/>
    <w:pPr>
      <w:ind w:left="720" w:hanging="360"/>
      <w:contextualSpacing/>
    </w:pPr>
    <w:rPr>
      <w:i w:val="0"/>
    </w:rPr>
  </w:style>
  <w:style w:type="paragraph" w:styleId="List3">
    <w:name w:val="List 3"/>
    <w:basedOn w:val="Normal"/>
    <w:uiPriority w:val="99"/>
    <w:unhideWhenUsed/>
    <w:rsid w:val="00326F90"/>
    <w:pPr>
      <w:ind w:left="1080" w:hanging="360"/>
      <w:contextualSpacing/>
    </w:pPr>
    <w:rPr>
      <w:i w:val="0"/>
    </w:rPr>
  </w:style>
  <w:style w:type="paragraph" w:styleId="ListBullet">
    <w:name w:val="List Bullet"/>
    <w:basedOn w:val="Normal"/>
    <w:uiPriority w:val="99"/>
    <w:unhideWhenUsed/>
    <w:rsid w:val="00326F90"/>
    <w:pPr>
      <w:numPr>
        <w:numId w:val="1"/>
      </w:numPr>
      <w:contextualSpacing/>
    </w:pPr>
    <w:rPr>
      <w:i w:val="0"/>
    </w:rPr>
  </w:style>
  <w:style w:type="paragraph" w:styleId="ListBullet2">
    <w:name w:val="List Bullet 2"/>
    <w:basedOn w:val="Normal"/>
    <w:uiPriority w:val="99"/>
    <w:unhideWhenUsed/>
    <w:rsid w:val="00326F90"/>
    <w:pPr>
      <w:numPr>
        <w:numId w:val="2"/>
      </w:numPr>
      <w:contextualSpacing/>
    </w:pPr>
    <w:rPr>
      <w:i w:val="0"/>
    </w:rPr>
  </w:style>
  <w:style w:type="paragraph" w:styleId="ListBullet3">
    <w:name w:val="List Bullet 3"/>
    <w:basedOn w:val="Normal"/>
    <w:uiPriority w:val="99"/>
    <w:unhideWhenUsed/>
    <w:rsid w:val="00326F90"/>
    <w:pPr>
      <w:numPr>
        <w:numId w:val="3"/>
      </w:numPr>
      <w:contextualSpacing/>
    </w:pPr>
    <w:rPr>
      <w:i w:val="0"/>
    </w:rPr>
  </w:style>
  <w:style w:type="paragraph" w:styleId="ListNumber">
    <w:name w:val="List Number"/>
    <w:basedOn w:val="Normal"/>
    <w:uiPriority w:val="99"/>
    <w:unhideWhenUsed/>
    <w:rsid w:val="00326F90"/>
    <w:pPr>
      <w:numPr>
        <w:numId w:val="5"/>
      </w:numPr>
      <w:contextualSpacing/>
    </w:pPr>
    <w:rPr>
      <w:i w:val="0"/>
    </w:rPr>
  </w:style>
  <w:style w:type="paragraph" w:styleId="ListNumber2">
    <w:name w:val="List Number 2"/>
    <w:basedOn w:val="Normal"/>
    <w:uiPriority w:val="99"/>
    <w:unhideWhenUsed/>
    <w:rsid w:val="0029639D"/>
    <w:pPr>
      <w:numPr>
        <w:numId w:val="6"/>
      </w:numPr>
      <w:contextualSpacing/>
    </w:pPr>
    <w:rPr>
      <w:i w:val="0"/>
    </w:rPr>
  </w:style>
  <w:style w:type="paragraph" w:styleId="ListNumber3">
    <w:name w:val="List Number 3"/>
    <w:basedOn w:val="Normal"/>
    <w:uiPriority w:val="99"/>
    <w:unhideWhenUsed/>
    <w:rsid w:val="0029639D"/>
    <w:pPr>
      <w:numPr>
        <w:numId w:val="7"/>
      </w:numPr>
      <w:contextualSpacing/>
    </w:pPr>
    <w:rPr>
      <w:i w:val="0"/>
    </w:rPr>
  </w:style>
  <w:style w:type="paragraph" w:styleId="ListContinue">
    <w:name w:val="List Continue"/>
    <w:basedOn w:val="Normal"/>
    <w:uiPriority w:val="99"/>
    <w:unhideWhenUsed/>
    <w:rsid w:val="0029639D"/>
    <w:pPr>
      <w:spacing w:after="120"/>
      <w:ind w:left="360"/>
      <w:contextualSpacing/>
    </w:pPr>
    <w:rPr>
      <w:i w:val="0"/>
    </w:rPr>
  </w:style>
  <w:style w:type="paragraph" w:styleId="ListContinue2">
    <w:name w:val="List Continue 2"/>
    <w:basedOn w:val="Normal"/>
    <w:uiPriority w:val="99"/>
    <w:unhideWhenUsed/>
    <w:rsid w:val="0029639D"/>
    <w:pPr>
      <w:spacing w:after="120"/>
      <w:ind w:left="720"/>
      <w:contextualSpacing/>
    </w:pPr>
    <w:rPr>
      <w:i w:val="0"/>
    </w:rPr>
  </w:style>
  <w:style w:type="paragraph" w:styleId="ListContinue3">
    <w:name w:val="List Continue 3"/>
    <w:basedOn w:val="Normal"/>
    <w:uiPriority w:val="99"/>
    <w:unhideWhenUsed/>
    <w:rsid w:val="0029639D"/>
    <w:pPr>
      <w:spacing w:after="120"/>
      <w:ind w:left="1080"/>
      <w:contextualSpacing/>
    </w:pPr>
    <w:rPr>
      <w:i w:val="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i w:val="0"/>
      <w:sz w:val="20"/>
      <w:szCs w:val="20"/>
    </w:rPr>
  </w:style>
  <w:style w:type="character" w:customStyle="1" w:styleId="MacroTextChar">
    <w:name w:val="Macro Text Char"/>
    <w:basedOn w:val="DefaultParagraphFont"/>
    <w:link w:val="MacroText"/>
    <w:uiPriority w:val="99"/>
    <w:rsid w:val="0029639D"/>
    <w:rPr>
      <w:rFonts w:ascii="Courier" w:hAnsi="Courier"/>
      <w:i w:val="0"/>
      <w:sz w:val="20"/>
      <w:szCs w:val="20"/>
    </w:rPr>
  </w:style>
  <w:style w:type="paragraph" w:styleId="Quote">
    <w:name w:val="Quote"/>
    <w:basedOn w:val="Normal"/>
    <w:next w:val="Normal"/>
    <w:link w:val="QuoteChar"/>
    <w:uiPriority w:val="29"/>
    <w:qFormat/>
    <w:rsid w:val="00FC693F"/>
    <w:rPr>
      <w:i w:val="0"/>
      <w:iCs/>
      <w:color w:val="000000" w:themeColor="text1"/>
    </w:rPr>
  </w:style>
  <w:style w:type="character" w:customStyle="1" w:styleId="QuoteChar">
    <w:name w:val="Quote Char"/>
    <w:basedOn w:val="DefaultParagraphFont"/>
    <w:link w:val="Quote"/>
    <w:uiPriority w:val="29"/>
    <w:rsid w:val="00FC693F"/>
    <w:rPr>
      <w:i w:val="0"/>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val="0"/>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i w:val="0"/>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val="0"/>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val="0"/>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i w:val="0"/>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val="0"/>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i w:val="0"/>
      <w:color w:val="4F81BD" w:themeColor="accent1"/>
      <w:sz w:val="18"/>
      <w:szCs w:val="18"/>
    </w:rPr>
  </w:style>
  <w:style w:type="character" w:styleId="Strong">
    <w:name w:val="Strong"/>
    <w:basedOn w:val="DefaultParagraphFont"/>
    <w:uiPriority w:val="22"/>
    <w:qFormat/>
    <w:rsid w:val="00FC693F"/>
    <w:rPr>
      <w:b/>
      <w:bCs/>
      <w:i w:val="0"/>
    </w:rPr>
  </w:style>
  <w:style w:type="character" w:styleId="Emphasis">
    <w:name w:val="Emphasis"/>
    <w:basedOn w:val="DefaultParagraphFont"/>
    <w:uiPriority w:val="20"/>
    <w:qFormat/>
    <w:rsid w:val="00FC693F"/>
    <w:rPr>
      <w:i w:val="0"/>
      <w:iCs/>
    </w:rPr>
  </w:style>
  <w:style w:type="paragraph" w:styleId="IntenseQuote">
    <w:name w:val="Intense Quote"/>
    <w:basedOn w:val="Normal"/>
    <w:next w:val="Normal"/>
    <w:link w:val="IntenseQuoteChar"/>
    <w:uiPriority w:val="30"/>
    <w:qFormat/>
    <w:rsid w:val="00FC693F"/>
    <w:pPr>
      <w:spacing w:before="200" w:after="280"/>
      <w:ind w:left="936" w:right="936"/>
    </w:pPr>
    <w:rPr>
      <w:b/>
      <w:bCs/>
      <w:i w:val="0"/>
      <w:iCs/>
      <w:color w:val="4F81BD" w:themeColor="accent1"/>
    </w:rPr>
  </w:style>
  <w:style w:type="character" w:customStyle="1" w:styleId="IntenseQuoteChar">
    <w:name w:val="Intense Quote Char"/>
    <w:basedOn w:val="DefaultParagraphFont"/>
    <w:link w:val="IntenseQuote"/>
    <w:uiPriority w:val="30"/>
    <w:rsid w:val="00FC693F"/>
    <w:rPr>
      <w:b/>
      <w:bCs/>
      <w:i w:val="0"/>
      <w:iCs/>
      <w:color w:val="4F81BD" w:themeColor="accent1"/>
    </w:rPr>
  </w:style>
  <w:style w:type="character" w:styleId="SubtleEmphasis">
    <w:name w:val="Subtle Emphasis"/>
    <w:basedOn w:val="DefaultParagraphFont"/>
    <w:uiPriority w:val="19"/>
    <w:qFormat/>
    <w:rsid w:val="00FC693F"/>
    <w:rPr>
      <w:i w:val="0"/>
      <w:iCs/>
      <w:color w:val="808080" w:themeColor="text1" w:themeTint="7F"/>
    </w:rPr>
  </w:style>
  <w:style w:type="character" w:styleId="IntenseEmphasis">
    <w:name w:val="Intense Emphasis"/>
    <w:basedOn w:val="DefaultParagraphFont"/>
    <w:uiPriority w:val="21"/>
    <w:qFormat/>
    <w:rsid w:val="00FC693F"/>
    <w:rPr>
      <w:b/>
      <w:bCs/>
      <w:i w:val="0"/>
      <w:iCs/>
      <w:color w:val="4F81BD" w:themeColor="accent1"/>
    </w:rPr>
  </w:style>
  <w:style w:type="character" w:styleId="SubtleReference">
    <w:name w:val="Subtle Reference"/>
    <w:basedOn w:val="DefaultParagraphFont"/>
    <w:uiPriority w:val="31"/>
    <w:qFormat/>
    <w:rsid w:val="00FC693F"/>
    <w:rPr>
      <w:i w:val="0"/>
      <w:smallCaps/>
      <w:color w:val="C0504D" w:themeColor="accent2"/>
      <w:u w:val="single"/>
    </w:rPr>
  </w:style>
  <w:style w:type="character" w:styleId="IntenseReference">
    <w:name w:val="Intense Reference"/>
    <w:basedOn w:val="DefaultParagraphFont"/>
    <w:uiPriority w:val="32"/>
    <w:qFormat/>
    <w:rsid w:val="00FC693F"/>
    <w:rPr>
      <w:b/>
      <w:bCs/>
      <w:i w:val="0"/>
      <w:smallCaps/>
      <w:color w:val="C0504D" w:themeColor="accent2"/>
      <w:spacing w:val="5"/>
      <w:u w:val="single"/>
    </w:rPr>
  </w:style>
  <w:style w:type="character" w:styleId="BookTitle">
    <w:name w:val="Book Title"/>
    <w:basedOn w:val="DefaultParagraphFont"/>
    <w:uiPriority w:val="33"/>
    <w:qFormat/>
    <w:rsid w:val="00FC693F"/>
    <w:rPr>
      <w:b/>
      <w:bCs/>
      <w:i w:val="0"/>
      <w:smallCaps/>
      <w:spacing w:val="5"/>
    </w:rPr>
  </w:style>
  <w:style w:type="paragraph" w:styleId="TOCHeading">
    <w:name w:val="TOC Heading"/>
    <w:basedOn w:val="Heading1"/>
    <w:next w:val="Normal"/>
    <w:uiPriority w:val="39"/>
    <w:semiHidden/>
    <w:unhideWhenUsed/>
    <w:qFormat/>
    <w:rsid w:val="00FC693F"/>
    <w:pPr>
      <w:outlineLvl w:val="9"/>
    </w:pPr>
    <w:rPr>
      <w:i w:val="0"/>
    </w:rPr>
  </w:style>
  <w:style w:type="table" w:styleId="TableGrid">
    <w:name w:val="Table Grid"/>
    <w:basedOn w:val="TableNormal"/>
    <w:uiPriority w:val="59"/>
    <w:rsid w:val="00FC693F"/>
    <w:pPr>
      <w:spacing w:after="0" w:line="240" w:lineRule="auto"/>
    </w:pPr>
    <w:rPr>
      <w:i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i w:val="0"/>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i w:val="0"/>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i w:val="0"/>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i w:val="0"/>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i w:val="0"/>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i w:val="0"/>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i w:val="0"/>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i w:val="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i w:val="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i w:val="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i w:val="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i w:val="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i w:val="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i w:val="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i w:val="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i w:val="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i w:val="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i w:val="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i w:val="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i w:val="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i w:val="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i w:val="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i w:val="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i w:val="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i w:val="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i w:val="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i w:val="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i w:val="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i w:val="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i w:val="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i w:val="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i w:val="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i w:val="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i w:val="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i w:val="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i w:val="0"/>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i w:val="0"/>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i w:val="0"/>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i w:val="0"/>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i w:val="0"/>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i w:val="0"/>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i w:val="0"/>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i w:val="0"/>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i w:val="0"/>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i w:val="0"/>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i w:val="0"/>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i w:val="0"/>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i w:val="0"/>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i w:val="0"/>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i w:val="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i w:val="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i w:val="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i w:val="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i w:val="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i w:val="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i w:val="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i w:val="0"/>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i w:val="0"/>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i w:val="0"/>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i w:val="0"/>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i w:val="0"/>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i w:val="0"/>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i w:val="0"/>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i w:val="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i w:val="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i w:val="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i w:val="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i w:val="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i w:val="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i w:val="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i w:val="0"/>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i w:val="0"/>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i w:val="0"/>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i w:val="0"/>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i w:val="0"/>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i w:val="0"/>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i w:val="0"/>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i w:val="0"/>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i w:val="0"/>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i w:val="0"/>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i w:val="0"/>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i w:val="0"/>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i w:val="0"/>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i w:val="0"/>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i w:val="0"/>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i w:val="0"/>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i w:val="0"/>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i w:val="0"/>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i w:val="0"/>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i w:val="0"/>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i w:val="0"/>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i w:val="0"/>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i w:val="0"/>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i w:val="0"/>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i w:val="0"/>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i w:val="0"/>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i w:val="0"/>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i w:val="0"/>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ersianBibliography">
    <w:name w:val="Persian Bibliography"/>
    <w:basedOn w:val="Normal"/>
    <w:pPr>
      <w:widowControl/>
      <w:spacing w:line="269" w:lineRule="auto" w:after="100"/>
      <w:ind w:firstLine="0"/>
    </w:pPr>
    <w:rPr>
      <w:rFonts w:ascii="Noto Naskh Arabic" w:hAnsi="Noto Naskh Arabic" w:eastAsia="Noto Naskh Arabic" w:cs="Noto Naskh Arabic"/>
      <w:sz w:val="23"/>
      <w:i w:val="0"/>
      <w:iCs w:val="0"/>
      <w:szCs w:val="23"/>
      <w:lang w:val="fa-IR" w:bidi="fa-IR"/>
      <w:rtl w:val="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refworld.org/sites/default/files/legacy-pdf/en/1948-12/3ae6b3712c.pdf" TargetMode="External"/><Relationship Id="rId10" Type="http://schemas.openxmlformats.org/officeDocument/2006/relationships/hyperlink" Target="https://seculardemocraticiran.world/writing/pahlavism-history-democratic-fa" TargetMode="External"/><Relationship Id="rId11" Type="http://schemas.openxmlformats.org/officeDocument/2006/relationships/hyperlink" Target="https://rezapahlavi.org/en/about" TargetMode="External"/><Relationship Id="rId12" Type="http://schemas.openxmlformats.org/officeDocument/2006/relationships/hyperlink" Target="https://www.ilo.org/topics-and-sectors/social-dialogue-and-tripartism" TargetMode="External"/><Relationship Id="rId13" Type="http://schemas.openxmlformats.org/officeDocument/2006/relationships/hyperlink" Target="https://www.unep.org/resources/policy-and-strategy/framework-principles-human-rights-and-environment" TargetMode="External"/><Relationship Id="rId14" Type="http://schemas.openxmlformats.org/officeDocument/2006/relationships/hyperlink" Target="https://www.constituteproject.org/constitution/Iran_1989" TargetMode="External"/><Relationship Id="rId15" Type="http://schemas.openxmlformats.org/officeDocument/2006/relationships/hyperlink" Target="https://www.unodc.org/e4j/en/anti-corruption/module-4/key-issues/corruption-in-public-procurement.html" TargetMode="External"/><Relationship Id="rId16" Type="http://schemas.openxmlformats.org/officeDocument/2006/relationships/hyperlink" Target="https://www.royal.uk/media-pack/financial-reports-2024-25" TargetMode="External"/><Relationship Id="rId17" Type="http://schemas.openxmlformats.org/officeDocument/2006/relationships/hyperlink" Target="https://www.oecd.org/en/publications/oecd-guidelines-for-citizen-participation-processes_f765caf6-en.html" TargetMode="External"/><Relationship Id="rId18" Type="http://schemas.openxmlformats.org/officeDocument/2006/relationships/hyperlink" Target="https://rm.coe.int/0900001680726f6f" TargetMode="External"/><Relationship Id="rId19" Type="http://schemas.openxmlformats.org/officeDocument/2006/relationships/hyperlink" Target="https://iranopasmigirim.com/en/iran-prosperity-project" TargetMode="External"/><Relationship Id="rId20" Type="http://schemas.openxmlformats.org/officeDocument/2006/relationships/hyperlink" Target="https://seculardemocraticiran.world/writing/political-framework-history"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تمدن‌سازان ایران نوین</dc:title>
  <dc:subject>پیمان ملی و مسئولیت شهروندی در ساختن ایران آینده</dc:subject>
  <dc:creator>Peyman Bakhshayesh</dc:creator>
  <cp:keywords>ایران نوین؛ شاهزاده رضا پهلوی؛ پهلویسم آینده‌گرا؛ پادشاهی مشروطه؛ شهروندی برابر؛ شفافیت؛ مشارکت عمومی؛ جنبش شیر و خورشید</cp:keywords>
  <dc:description/>
  <cp:lastModifiedBy/>
  <cp:revision>1</cp:revision>
  <dcterms:created xsi:type="dcterms:W3CDTF">2013-12-23T23:15:00Z</dcterms:created>
  <dcterms:modified xsi:type="dcterms:W3CDTF">2013-12-23T23:15:00Z</dcterms:modified>
  <cp:category/>
</cp:coreProperties>
</file>